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00" w:lineRule="exact"/>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keepNext w:val="0"/>
        <w:keepLines w:val="0"/>
        <w:pageBreakBefore w:val="0"/>
        <w:widowControl w:val="0"/>
        <w:tabs>
          <w:tab w:val="left" w:pos="624"/>
        </w:tabs>
        <w:kinsoku/>
        <w:wordWrap/>
        <w:overflowPunct/>
        <w:topLinePunct w:val="0"/>
        <w:autoSpaceDE/>
        <w:autoSpaceDN/>
        <w:bidi w:val="0"/>
        <w:adjustRightInd/>
        <w:snapToGrid w:val="0"/>
        <w:spacing w:line="560" w:lineRule="exact"/>
        <w:jc w:val="center"/>
        <w:textAlignment w:val="auto"/>
        <w:rPr>
          <w:rFonts w:hint="eastAsia" w:ascii="宋体" w:hAnsi="Courier" w:eastAsia="宋体" w:cs="Times New Roman"/>
          <w:b/>
          <w:snapToGrid w:val="0"/>
          <w:color w:val="auto"/>
          <w:spacing w:val="-6"/>
          <w:kern w:val="0"/>
          <w:sz w:val="44"/>
          <w:szCs w:val="44"/>
          <w:lang w:val="en-US" w:eastAsia="zh-CN" w:bidi="ar-SA"/>
        </w:rPr>
      </w:pPr>
      <w:r>
        <w:rPr>
          <w:rFonts w:hint="eastAsia" w:ascii="宋体" w:hAnsi="Courier" w:eastAsia="宋体" w:cs="Times New Roman"/>
          <w:b/>
          <w:snapToGrid w:val="0"/>
          <w:color w:val="auto"/>
          <w:spacing w:val="-6"/>
          <w:kern w:val="0"/>
          <w:sz w:val="44"/>
          <w:szCs w:val="44"/>
          <w:lang w:val="en-US" w:eastAsia="zh-CN" w:bidi="ar-SA"/>
        </w:rPr>
        <w:t>西安育华职业高中</w:t>
      </w:r>
    </w:p>
    <w:p>
      <w:pPr>
        <w:keepNext w:val="0"/>
        <w:keepLines w:val="0"/>
        <w:pageBreakBefore w:val="0"/>
        <w:widowControl w:val="0"/>
        <w:tabs>
          <w:tab w:val="left" w:pos="624"/>
        </w:tabs>
        <w:kinsoku/>
        <w:wordWrap/>
        <w:overflowPunct/>
        <w:topLinePunct w:val="0"/>
        <w:autoSpaceDE/>
        <w:autoSpaceDN/>
        <w:bidi w:val="0"/>
        <w:adjustRightInd/>
        <w:snapToGrid w:val="0"/>
        <w:spacing w:after="313" w:afterLines="100" w:line="560" w:lineRule="exact"/>
        <w:jc w:val="center"/>
        <w:textAlignment w:val="auto"/>
        <w:rPr>
          <w:rFonts w:hint="eastAsia" w:ascii="黑体" w:hAnsi="Courier" w:eastAsia="黑体" w:cs="Times New Roman"/>
          <w:snapToGrid w:val="0"/>
          <w:spacing w:val="-6"/>
          <w:kern w:val="0"/>
          <w:sz w:val="32"/>
          <w:szCs w:val="20"/>
          <w:lang w:val="en-US" w:eastAsia="zh-CN" w:bidi="ar-SA"/>
        </w:rPr>
      </w:pPr>
      <w:r>
        <w:rPr>
          <w:rFonts w:hint="eastAsia" w:ascii="宋体" w:hAnsi="Courier" w:eastAsia="宋体" w:cs="Times New Roman"/>
          <w:b/>
          <w:snapToGrid w:val="0"/>
          <w:color w:val="auto"/>
          <w:spacing w:val="-6"/>
          <w:kern w:val="0"/>
          <w:sz w:val="44"/>
          <w:szCs w:val="44"/>
          <w:lang w:val="en-US" w:eastAsia="zh-CN" w:bidi="ar-SA"/>
        </w:rPr>
        <w:t>固定资产管理办法（试行）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仿宋_GB2312" w:eastAsia="仿宋_GB2312"/>
          <w:color w:val="auto"/>
          <w:sz w:val="32"/>
        </w:rPr>
      </w:pPr>
      <w:r>
        <w:rPr>
          <w:rFonts w:hint="eastAsia" w:ascii="黑体" w:hAnsi="Courier" w:eastAsia="黑体" w:cs="Times New Roman"/>
          <w:snapToGrid w:val="0"/>
          <w:spacing w:val="-6"/>
          <w:kern w:val="0"/>
          <w:sz w:val="32"/>
          <w:szCs w:val="20"/>
          <w:lang w:val="en-US" w:eastAsia="zh-CN" w:bidi="ar-SA"/>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51" w:right="215" w:firstLine="573"/>
        <w:jc w:val="both"/>
        <w:textAlignment w:val="auto"/>
        <w:rPr>
          <w:rFonts w:hint="eastAsia" w:ascii="仿宋_GB2312" w:hAnsi="仿宋_GB2312" w:eastAsia="仿宋_GB2312" w:cs="仿宋_GB2312"/>
          <w:b w:val="0"/>
          <w:bCs/>
          <w:snapToGrid w:val="0"/>
          <w:color w:val="auto"/>
          <w:spacing w:val="-6"/>
          <w:kern w:val="0"/>
          <w:sz w:val="32"/>
          <w:szCs w:val="32"/>
          <w:highlight w:val="none"/>
          <w:lang w:val="en-US" w:eastAsia="zh-CN" w:bidi="ar-SA"/>
        </w:rPr>
      </w:pPr>
      <w:r>
        <w:rPr>
          <w:rFonts w:hint="eastAsia" w:ascii="楷体_GB2312" w:hAnsi="楷体_GB2312" w:eastAsia="楷体_GB2312" w:cs="楷体_GB2312"/>
          <w:b w:val="0"/>
          <w:bCs w:val="0"/>
          <w:color w:val="auto"/>
          <w:sz w:val="32"/>
        </w:rPr>
        <w:t>第一条</w:t>
      </w:r>
      <w:r>
        <w:rPr>
          <w:rFonts w:hint="eastAsia" w:ascii="仿宋_GB2312" w:eastAsia="仿宋_GB2312"/>
          <w:b/>
          <w:bCs/>
          <w:color w:val="auto"/>
          <w:sz w:val="32"/>
          <w:lang w:val="en-US" w:eastAsia="zh-CN"/>
        </w:rPr>
        <w:t xml:space="preserve"> </w:t>
      </w:r>
      <w:r>
        <w:rPr>
          <w:rFonts w:hint="eastAsia" w:ascii="仿宋_GB2312" w:hAnsi="仿宋_GB2312" w:eastAsia="仿宋_GB2312" w:cs="仿宋_GB2312"/>
          <w:b w:val="0"/>
          <w:bCs/>
          <w:snapToGrid w:val="0"/>
          <w:color w:val="auto"/>
          <w:spacing w:val="-6"/>
          <w:kern w:val="0"/>
          <w:sz w:val="32"/>
          <w:szCs w:val="32"/>
          <w:highlight w:val="none"/>
          <w:lang w:val="en-US" w:eastAsia="zh-CN" w:bidi="ar-SA"/>
        </w:rPr>
        <w:t>为加强和规范学校固定资产管理，保障固定资产的安全完整，提高固定资产使用效率，实现资源优化配置和保值增值，特制定本办法（试行）。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snapToGrid w:val="0"/>
          <w:color w:val="auto"/>
          <w:spacing w:val="-6"/>
          <w:kern w:val="0"/>
          <w:sz w:val="32"/>
          <w:szCs w:val="32"/>
          <w:highlight w:val="none"/>
          <w:lang w:val="en-US" w:eastAsia="zh-CN" w:bidi="ar-SA"/>
        </w:rPr>
      </w:pPr>
      <w:r>
        <w:rPr>
          <w:rFonts w:hint="eastAsia" w:ascii="楷体_GB2312" w:hAnsi="楷体_GB2312" w:eastAsia="楷体_GB2312" w:cs="楷体_GB2312"/>
          <w:b w:val="0"/>
          <w:bCs w:val="0"/>
          <w:color w:val="auto"/>
          <w:sz w:val="32"/>
          <w:lang w:val="en-US" w:eastAsia="zh-CN"/>
        </w:rPr>
        <w:t>第二条</w:t>
      </w:r>
      <w:r>
        <w:rPr>
          <w:rFonts w:hint="eastAsia" w:ascii="仿宋_GB2312" w:hAnsi="仿宋_GB2312" w:eastAsia="仿宋_GB2312" w:cs="仿宋_GB2312"/>
          <w:b w:val="0"/>
          <w:bCs/>
          <w:snapToGrid w:val="0"/>
          <w:color w:val="auto"/>
          <w:spacing w:val="-6"/>
          <w:kern w:val="0"/>
          <w:sz w:val="32"/>
          <w:szCs w:val="32"/>
          <w:highlight w:val="none"/>
          <w:lang w:val="en-US" w:eastAsia="zh-CN" w:bidi="ar-SA"/>
        </w:rPr>
        <w:t xml:space="preserve"> 本办法适用于学校资产购置、使用、调拨、报废等日常管理。</w:t>
      </w:r>
    </w:p>
    <w:p>
      <w:pPr>
        <w:keepNext w:val="0"/>
        <w:keepLines w:val="0"/>
        <w:pageBreakBefore w:val="0"/>
        <w:widowControl w:val="0"/>
        <w:kinsoku/>
        <w:wordWrap/>
        <w:overflowPunct/>
        <w:topLinePunct w:val="0"/>
        <w:autoSpaceDE/>
        <w:autoSpaceDN/>
        <w:bidi w:val="0"/>
        <w:adjustRightInd/>
        <w:snapToGrid/>
        <w:spacing w:line="560" w:lineRule="exact"/>
        <w:ind w:left="49" w:right="143" w:firstLine="570"/>
        <w:jc w:val="both"/>
        <w:textAlignment w:val="auto"/>
        <w:rPr>
          <w:rFonts w:hint="eastAsia" w:ascii="仿宋_GB2312" w:hAnsi="仿宋_GB2312" w:eastAsia="仿宋_GB2312" w:cs="仿宋_GB2312"/>
          <w:b w:val="0"/>
          <w:bCs/>
          <w:snapToGrid w:val="0"/>
          <w:color w:val="auto"/>
          <w:spacing w:val="-6"/>
          <w:kern w:val="0"/>
          <w:sz w:val="32"/>
          <w:szCs w:val="32"/>
          <w:highlight w:val="none"/>
          <w:lang w:val="en-US" w:eastAsia="zh-CN" w:bidi="ar-SA"/>
        </w:rPr>
      </w:pPr>
      <w:r>
        <w:rPr>
          <w:rFonts w:hint="eastAsia" w:ascii="楷体_GB2312" w:hAnsi="楷体_GB2312" w:eastAsia="楷体_GB2312" w:cs="楷体_GB2312"/>
          <w:b w:val="0"/>
          <w:bCs w:val="0"/>
          <w:color w:val="auto"/>
          <w:sz w:val="32"/>
          <w:lang w:val="en-US" w:eastAsia="zh-CN"/>
        </w:rPr>
        <w:t>第三条</w:t>
      </w:r>
      <w:r>
        <w:rPr>
          <w:rFonts w:hint="eastAsia" w:ascii="仿宋_GB2312" w:hAnsi="仿宋_GB2312" w:eastAsia="仿宋_GB2312" w:cs="仿宋_GB2312"/>
          <w:b w:val="0"/>
          <w:bCs/>
          <w:snapToGrid w:val="0"/>
          <w:color w:val="auto"/>
          <w:spacing w:val="-6"/>
          <w:kern w:val="0"/>
          <w:sz w:val="32"/>
          <w:szCs w:val="32"/>
          <w:highlight w:val="none"/>
          <w:lang w:val="en-US" w:eastAsia="zh-CN" w:bidi="ar-SA"/>
        </w:rPr>
        <w:t xml:space="preserve"> 《西安育华职业高中固定资产管理办法（试行）》是依据《中国教育集团控股有限公司固定资产管理规定》相关要求制定的资产管理纲领性文件。固定资产管理的主要任务：加强和规范固定资产管理，防止固定资产流失，保障固定资产的安全、完整；实现学校固定资产的合理配置，提高固定资产使用效率；全面管理固定资产实物，真实反映固定资产状况。</w:t>
      </w:r>
    </w:p>
    <w:p>
      <w:pPr>
        <w:keepNext w:val="0"/>
        <w:keepLines w:val="0"/>
        <w:pageBreakBefore w:val="0"/>
        <w:widowControl w:val="0"/>
        <w:kinsoku/>
        <w:wordWrap/>
        <w:overflowPunct/>
        <w:topLinePunct w:val="0"/>
        <w:autoSpaceDE/>
        <w:autoSpaceDN/>
        <w:bidi w:val="0"/>
        <w:adjustRightInd/>
        <w:snapToGrid/>
        <w:spacing w:line="560" w:lineRule="exact"/>
        <w:ind w:left="77" w:firstLine="640" w:firstLineChars="200"/>
        <w:jc w:val="both"/>
        <w:textAlignment w:val="auto"/>
        <w:rPr>
          <w:rFonts w:hint="eastAsia" w:ascii="仿宋_GB2312" w:eastAsia="仿宋_GB2312"/>
          <w:color w:val="auto"/>
          <w:sz w:val="32"/>
        </w:rPr>
      </w:pPr>
      <w:r>
        <w:rPr>
          <w:rFonts w:hint="eastAsia" w:ascii="楷体_GB2312" w:hAnsi="楷体_GB2312" w:eastAsia="楷体_GB2312" w:cs="楷体_GB2312"/>
          <w:b w:val="0"/>
          <w:bCs w:val="0"/>
          <w:color w:val="auto"/>
          <w:sz w:val="32"/>
          <w:lang w:val="en-US" w:eastAsia="zh-CN"/>
        </w:rPr>
        <w:t>第四条</w:t>
      </w:r>
      <w:r>
        <w:rPr>
          <w:rFonts w:hint="eastAsia" w:ascii="仿宋_GB2312" w:eastAsia="仿宋_GB2312"/>
          <w:color w:val="auto"/>
          <w:sz w:val="32"/>
          <w:lang w:val="en-US" w:eastAsia="zh-CN"/>
        </w:rPr>
        <w:t xml:space="preserve"> </w:t>
      </w:r>
      <w:r>
        <w:rPr>
          <w:rFonts w:hint="eastAsia" w:ascii="仿宋_GB2312" w:hAnsi="仿宋_GB2312" w:eastAsia="仿宋_GB2312" w:cs="仿宋_GB2312"/>
          <w:b w:val="0"/>
          <w:bCs/>
          <w:color w:val="auto"/>
          <w:sz w:val="32"/>
          <w:szCs w:val="32"/>
          <w:highlight w:val="none"/>
          <w:lang w:val="en-US" w:eastAsia="zh-CN"/>
        </w:rPr>
        <w:t>固定资产管理的主要内容：固定资产范围、分类和单价的确定；固定资产配置、使用、维护和处置；固定资产清查盘点；固定资产账务管理等。</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right="0" w:rightChars="0" w:firstLine="0" w:firstLineChars="0"/>
        <w:jc w:val="center"/>
        <w:textAlignment w:val="auto"/>
        <w:rPr>
          <w:rFonts w:hint="eastAsia" w:ascii="黑体" w:hAnsi="Courier" w:eastAsia="黑体" w:cs="Times New Roman"/>
          <w:snapToGrid w:val="0"/>
          <w:spacing w:val="-6"/>
          <w:kern w:val="0"/>
          <w:sz w:val="32"/>
          <w:szCs w:val="20"/>
          <w:lang w:val="en-US" w:eastAsia="zh-CN" w:bidi="ar-SA"/>
        </w:rPr>
      </w:pPr>
      <w:r>
        <w:rPr>
          <w:rFonts w:hint="eastAsia" w:ascii="黑体" w:hAnsi="Courier" w:eastAsia="黑体" w:cs="Times New Roman"/>
          <w:snapToGrid w:val="0"/>
          <w:spacing w:val="-6"/>
          <w:kern w:val="0"/>
          <w:sz w:val="32"/>
          <w:szCs w:val="20"/>
          <w:lang w:val="en-US" w:eastAsia="zh-CN" w:bidi="ar-SA"/>
        </w:rPr>
        <w:t>第二章 固定资产管理体制</w:t>
      </w:r>
    </w:p>
    <w:p>
      <w:pPr>
        <w:pStyle w:val="4"/>
        <w:keepNext w:val="0"/>
        <w:keepLines w:val="0"/>
        <w:pageBreakBefore w:val="0"/>
        <w:widowControl w:val="0"/>
        <w:tabs>
          <w:tab w:val="left" w:pos="624"/>
        </w:tabs>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color w:val="auto"/>
          <w:sz w:val="32"/>
          <w:lang w:val="en-US" w:eastAsia="zh-CN"/>
        </w:rPr>
      </w:pPr>
      <w:r>
        <w:rPr>
          <w:rFonts w:hint="eastAsia" w:ascii="楷体_GB2312" w:hAnsi="楷体_GB2312" w:eastAsia="楷体_GB2312" w:cs="楷体_GB2312"/>
          <w:b w:val="0"/>
          <w:bCs w:val="0"/>
          <w:snapToGrid/>
          <w:color w:val="auto"/>
          <w:spacing w:val="0"/>
          <w:kern w:val="2"/>
          <w:sz w:val="32"/>
          <w:szCs w:val="24"/>
          <w:lang w:val="en-US" w:eastAsia="zh-CN" w:bidi="ar-SA"/>
        </w:rPr>
        <w:t>第五条</w:t>
      </w:r>
      <w:r>
        <w:rPr>
          <w:rFonts w:hint="eastAsia" w:ascii="仿宋_GB2312" w:eastAsia="仿宋_GB2312"/>
          <w:color w:val="auto"/>
          <w:sz w:val="32"/>
          <w:lang w:val="en-US" w:eastAsia="zh-CN"/>
        </w:rPr>
        <w:t xml:space="preserve"> </w:t>
      </w:r>
      <w:r>
        <w:rPr>
          <w:rFonts w:hint="eastAsia" w:ascii="仿宋_GB2312" w:hAnsi="仿宋_GB2312" w:eastAsia="仿宋_GB2312" w:cs="仿宋_GB2312"/>
          <w:color w:val="auto"/>
          <w:sz w:val="32"/>
          <w:szCs w:val="32"/>
          <w:lang w:val="en-US" w:eastAsia="zh-CN"/>
        </w:rPr>
        <w:t>学校对固定资产管理实行统一领导、分级管理、责任到人的管理体制。</w:t>
      </w:r>
      <w:r>
        <w:rPr>
          <w:rFonts w:hint="eastAsia" w:ascii="仿宋_GB2312" w:eastAsia="仿宋_GB2312"/>
          <w:color w:val="auto"/>
          <w:sz w:val="32"/>
          <w:lang w:val="en-US" w:eastAsia="zh-CN"/>
        </w:rPr>
        <w:t>总务处</w:t>
      </w:r>
      <w:r>
        <w:rPr>
          <w:rFonts w:hint="eastAsia" w:ascii="仿宋_GB2312" w:eastAsia="仿宋_GB2312"/>
          <w:color w:val="auto"/>
          <w:sz w:val="32"/>
        </w:rPr>
        <w:t>负责</w:t>
      </w:r>
      <w:r>
        <w:rPr>
          <w:rFonts w:hint="eastAsia" w:ascii="仿宋_GB2312" w:eastAsia="仿宋_GB2312"/>
          <w:color w:val="auto"/>
          <w:sz w:val="32"/>
          <w:lang w:val="en-US" w:eastAsia="zh-CN"/>
        </w:rPr>
        <w:t>学校</w:t>
      </w:r>
      <w:r>
        <w:rPr>
          <w:rFonts w:hint="eastAsia" w:ascii="仿宋_GB2312" w:eastAsia="仿宋_GB2312"/>
          <w:color w:val="auto"/>
          <w:sz w:val="32"/>
        </w:rPr>
        <w:t>固定资产的管理</w:t>
      </w:r>
      <w:r>
        <w:rPr>
          <w:rFonts w:hint="eastAsia" w:ascii="仿宋_GB2312" w:hAnsi="仿宋_GB2312" w:eastAsia="仿宋_GB2312" w:cs="仿宋_GB2312"/>
          <w:color w:val="auto"/>
          <w:sz w:val="32"/>
          <w:szCs w:val="32"/>
          <w:lang w:val="en-US" w:eastAsia="zh-CN"/>
        </w:rPr>
        <w:t>，组织开展全校固定资产管理相关工作，包括全校范围内固定资产的采购、入库、供应、调配、报废、清查、明细账管理等工作。财务处负责学校固定资产的总账和分类账的核算工作。各部门负责管理本部门使用的固定资产。</w:t>
      </w:r>
    </w:p>
    <w:p>
      <w:pPr>
        <w:pStyle w:val="4"/>
        <w:keepNext w:val="0"/>
        <w:keepLines w:val="0"/>
        <w:pageBreakBefore w:val="0"/>
        <w:widowControl w:val="0"/>
        <w:tabs>
          <w:tab w:val="left" w:pos="624"/>
        </w:tabs>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color w:val="auto"/>
          <w:sz w:val="32"/>
        </w:rPr>
      </w:pPr>
      <w:r>
        <w:rPr>
          <w:rFonts w:hint="eastAsia" w:ascii="楷体_GB2312" w:hAnsi="楷体_GB2312" w:eastAsia="楷体_GB2312" w:cs="楷体_GB2312"/>
          <w:b w:val="0"/>
          <w:bCs w:val="0"/>
          <w:snapToGrid/>
          <w:color w:val="auto"/>
          <w:spacing w:val="0"/>
          <w:kern w:val="2"/>
          <w:sz w:val="32"/>
          <w:szCs w:val="24"/>
          <w:lang w:val="en-US" w:eastAsia="zh-CN" w:bidi="ar-SA"/>
        </w:rPr>
        <w:t>第六条</w:t>
      </w:r>
      <w:r>
        <w:rPr>
          <w:rFonts w:hint="eastAsia" w:ascii="仿宋_GB2312" w:eastAsia="仿宋_GB2312"/>
          <w:b/>
          <w:bCs/>
          <w:color w:val="auto"/>
          <w:sz w:val="32"/>
          <w:lang w:val="en-US" w:eastAsia="zh-CN"/>
        </w:rPr>
        <w:t xml:space="preserve"> </w:t>
      </w:r>
      <w:r>
        <w:rPr>
          <w:rFonts w:hint="eastAsia" w:ascii="仿宋_GB2312" w:hAnsi="仿宋_GB2312" w:eastAsia="仿宋_GB2312" w:cs="仿宋_GB2312"/>
          <w:color w:val="auto"/>
          <w:sz w:val="32"/>
          <w:szCs w:val="32"/>
          <w:lang w:val="en-US" w:eastAsia="zh-CN"/>
        </w:rPr>
        <w:t>学校固定资产管理部门主要职责：</w:t>
      </w:r>
    </w:p>
    <w:p>
      <w:pPr>
        <w:pStyle w:val="4"/>
        <w:keepNext w:val="0"/>
        <w:keepLines w:val="0"/>
        <w:pageBreakBefore w:val="0"/>
        <w:widowControl w:val="0"/>
        <w:tabs>
          <w:tab w:val="left" w:pos="624"/>
        </w:tabs>
        <w:kinsoku/>
        <w:wordWrap/>
        <w:overflowPunct/>
        <w:topLinePunct w:val="0"/>
        <w:autoSpaceDE/>
        <w:autoSpaceDN/>
        <w:bidi w:val="0"/>
        <w:adjustRightInd/>
        <w:snapToGrid w:val="0"/>
        <w:spacing w:line="560" w:lineRule="exact"/>
        <w:ind w:firstLine="616" w:firstLineChars="200"/>
        <w:jc w:val="both"/>
        <w:textAlignment w:val="auto"/>
        <w:rPr>
          <w:rFonts w:hint="default" w:ascii="仿宋_GB2312" w:eastAsia="仿宋_GB2312"/>
          <w:color w:val="auto"/>
          <w:sz w:val="32"/>
          <w:lang w:val="en-US" w:eastAsia="zh-CN"/>
        </w:rPr>
      </w:pPr>
      <w:r>
        <w:rPr>
          <w:rFonts w:hint="eastAsia" w:ascii="仿宋_GB2312" w:hAnsi="仿宋_GB2312" w:eastAsia="仿宋_GB2312" w:cs="仿宋_GB2312"/>
          <w:color w:val="auto"/>
          <w:sz w:val="32"/>
          <w:szCs w:val="32"/>
          <w:lang w:val="en-US" w:eastAsia="zh-CN"/>
        </w:rPr>
        <w:t>（一）</w:t>
      </w:r>
      <w:r>
        <w:rPr>
          <w:rFonts w:hint="eastAsia" w:ascii="仿宋_GB2312" w:eastAsia="仿宋_GB2312"/>
          <w:color w:val="auto"/>
          <w:sz w:val="32"/>
        </w:rPr>
        <w:t>贯彻执行固定资产管理的规章制度，</w:t>
      </w:r>
      <w:r>
        <w:rPr>
          <w:rFonts w:hint="eastAsia" w:ascii="仿宋_GB2312" w:eastAsia="仿宋_GB2312"/>
          <w:color w:val="auto"/>
          <w:sz w:val="32"/>
          <w:lang w:val="en-US" w:eastAsia="zh-CN"/>
        </w:rPr>
        <w:t>接受上级相关主管部门的指导与监督，报告固定资产管理情况。</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（二）加强固定资产绩效考核等管理体系建设，组织考核评价各归口管理部门的固定资产管理水平与使用效益、固定资产优化配置等工作。</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（三）组织布置固定资产清查、盘点工作，办理盈亏报废事项，出具清查报告。</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highlight w:val="none"/>
          <w:lang w:val="en-US" w:eastAsia="zh-CN"/>
        </w:rPr>
        <w:t>组织拟定学校资产管理的规章制度，</w:t>
      </w:r>
      <w:r>
        <w:rPr>
          <w:rFonts w:hint="eastAsia" w:ascii="仿宋_GB2312" w:hAnsi="仿宋_GB2312" w:eastAsia="仿宋_GB2312" w:cs="仿宋_GB2312"/>
          <w:color w:val="auto"/>
          <w:sz w:val="32"/>
          <w:szCs w:val="32"/>
          <w:lang w:val="en-US" w:eastAsia="zh-CN"/>
        </w:rPr>
        <w:t>建立健全学校的固定资产管理规章制度，明确固定资产的新增、维修、调拨、报废、处置等各项工作的流程。</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（五）负责固定资产的日常管理工作。组织固定资产的建账与管理，全面掌握固定资产的增减变动情况；检查、指导和监督使用部门的固定资产管理、维护、使用情况。</w:t>
      </w:r>
    </w:p>
    <w:p>
      <w:pPr>
        <w:pStyle w:val="4"/>
        <w:keepNext w:val="0"/>
        <w:keepLines w:val="0"/>
        <w:pageBreakBefore w:val="0"/>
        <w:widowControl w:val="0"/>
        <w:tabs>
          <w:tab w:val="left" w:pos="624"/>
        </w:tabs>
        <w:kinsoku/>
        <w:wordWrap/>
        <w:overflowPunct/>
        <w:topLinePunct w:val="0"/>
        <w:autoSpaceDE/>
        <w:autoSpaceDN/>
        <w:bidi w:val="0"/>
        <w:adjustRightInd/>
        <w:snapToGrid w:val="0"/>
        <w:spacing w:line="560" w:lineRule="exact"/>
        <w:ind w:firstLine="616" w:firstLineChars="200"/>
        <w:jc w:val="both"/>
        <w:textAlignment w:val="auto"/>
        <w:rPr>
          <w:rFonts w:hint="eastAsia" w:ascii="仿宋_GB2312" w:hAnsi="仿宋_GB2312" w:eastAsia="仿宋_GB2312" w:cs="仿宋_GB2312"/>
          <w:snapToGrid/>
          <w:color w:val="auto"/>
          <w:spacing w:val="0"/>
          <w:kern w:val="2"/>
          <w:sz w:val="32"/>
          <w:szCs w:val="32"/>
          <w:lang w:val="en-US" w:eastAsia="zh-CN" w:bidi="ar-SA"/>
        </w:rPr>
      </w:pP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napToGrid/>
          <w:color w:val="auto"/>
          <w:spacing w:val="0"/>
          <w:kern w:val="2"/>
          <w:sz w:val="32"/>
          <w:szCs w:val="32"/>
          <w:lang w:val="en-US" w:eastAsia="zh-CN" w:bidi="ar-SA"/>
        </w:rPr>
        <w:t>六）统筹</w:t>
      </w:r>
      <w:r>
        <w:rPr>
          <w:rFonts w:hint="eastAsia" w:ascii="仿宋_GB2312" w:hAnsi="仿宋_GB2312" w:eastAsia="仿宋_GB2312" w:cs="仿宋_GB2312"/>
          <w:snapToGrid/>
          <w:color w:val="auto"/>
          <w:spacing w:val="0"/>
          <w:kern w:val="2"/>
          <w:sz w:val="32"/>
          <w:szCs w:val="32"/>
          <w:highlight w:val="none"/>
          <w:lang w:val="en-US" w:eastAsia="zh-CN" w:bidi="ar-SA"/>
        </w:rPr>
        <w:t>学校闲置资产的</w:t>
      </w:r>
      <w:r>
        <w:rPr>
          <w:rFonts w:hint="eastAsia" w:ascii="仿宋_GB2312" w:hAnsi="仿宋_GB2312" w:eastAsia="仿宋_GB2312" w:cs="仿宋_GB2312"/>
          <w:snapToGrid/>
          <w:color w:val="auto"/>
          <w:spacing w:val="0"/>
          <w:kern w:val="2"/>
          <w:sz w:val="32"/>
          <w:szCs w:val="32"/>
          <w:lang w:val="en-US" w:eastAsia="zh-CN" w:bidi="ar-SA"/>
        </w:rPr>
        <w:t>调配。</w:t>
      </w:r>
    </w:p>
    <w:p>
      <w:pPr>
        <w:pStyle w:val="4"/>
        <w:keepNext w:val="0"/>
        <w:keepLines w:val="0"/>
        <w:pageBreakBefore w:val="0"/>
        <w:widowControl w:val="0"/>
        <w:tabs>
          <w:tab w:val="left" w:pos="624"/>
        </w:tabs>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napToGrid/>
          <w:color w:val="auto"/>
          <w:spacing w:val="0"/>
          <w:kern w:val="2"/>
          <w:sz w:val="32"/>
          <w:szCs w:val="32"/>
          <w:lang w:val="en-US" w:eastAsia="zh-CN" w:bidi="ar-SA"/>
        </w:rPr>
      </w:pPr>
      <w:r>
        <w:rPr>
          <w:rFonts w:hint="eastAsia" w:ascii="楷体_GB2312" w:hAnsi="楷体_GB2312" w:eastAsia="楷体_GB2312" w:cs="楷体_GB2312"/>
          <w:b w:val="0"/>
          <w:bCs w:val="0"/>
          <w:snapToGrid/>
          <w:color w:val="auto"/>
          <w:spacing w:val="0"/>
          <w:kern w:val="2"/>
          <w:sz w:val="32"/>
          <w:szCs w:val="24"/>
          <w:lang w:val="en-US" w:eastAsia="zh-CN" w:bidi="ar-SA"/>
        </w:rPr>
        <w:t>第七条</w:t>
      </w:r>
      <w:r>
        <w:rPr>
          <w:rFonts w:hint="eastAsia" w:ascii="仿宋_GB2312" w:hAnsi="仿宋_GB2312" w:eastAsia="仿宋_GB2312" w:cs="仿宋_GB2312"/>
          <w:snapToGrid/>
          <w:color w:val="auto"/>
          <w:spacing w:val="0"/>
          <w:kern w:val="2"/>
          <w:sz w:val="32"/>
          <w:szCs w:val="32"/>
          <w:lang w:val="en-US" w:eastAsia="zh-CN" w:bidi="ar-SA"/>
        </w:rPr>
        <w:t xml:space="preserve"> 固定资产使用部门应配备专职（或兼职）资产管理员，对其占有、使用的固定资产实施日常管理。固定资产的归口、使用部门的主要工作职责：</w:t>
      </w:r>
    </w:p>
    <w:p>
      <w:pPr>
        <w:pStyle w:val="4"/>
        <w:keepNext w:val="0"/>
        <w:keepLines w:val="0"/>
        <w:pageBreakBefore w:val="0"/>
        <w:widowControl w:val="0"/>
        <w:tabs>
          <w:tab w:val="left" w:pos="624"/>
        </w:tabs>
        <w:kinsoku/>
        <w:wordWrap/>
        <w:overflowPunct/>
        <w:topLinePunct w:val="0"/>
        <w:autoSpaceDE/>
        <w:autoSpaceDN/>
        <w:bidi w:val="0"/>
        <w:adjustRightInd/>
        <w:snapToGrid w:val="0"/>
        <w:spacing w:line="560" w:lineRule="exact"/>
        <w:ind w:firstLine="640" w:firstLineChars="200"/>
        <w:jc w:val="both"/>
        <w:textAlignment w:val="auto"/>
        <w:rPr>
          <w:rFonts w:hint="default" w:ascii="仿宋_GB2312" w:hAnsi="仿宋_GB2312" w:eastAsia="仿宋_GB2312" w:cs="仿宋_GB2312"/>
          <w:snapToGrid/>
          <w:color w:val="auto"/>
          <w:spacing w:val="0"/>
          <w:kern w:val="2"/>
          <w:sz w:val="32"/>
          <w:szCs w:val="32"/>
          <w:lang w:val="en-US" w:eastAsia="zh-CN" w:bidi="ar-SA"/>
        </w:rPr>
      </w:pPr>
      <w:r>
        <w:rPr>
          <w:rFonts w:hint="eastAsia" w:ascii="仿宋_GB2312" w:hAnsi="仿宋_GB2312" w:eastAsia="仿宋_GB2312" w:cs="仿宋_GB2312"/>
          <w:snapToGrid/>
          <w:color w:val="auto"/>
          <w:spacing w:val="0"/>
          <w:kern w:val="2"/>
          <w:sz w:val="32"/>
          <w:szCs w:val="32"/>
          <w:lang w:val="en-US" w:eastAsia="zh-CN" w:bidi="ar-SA"/>
        </w:rPr>
        <w:t>（一）使用部门为资产管理的直接责任部门，负责人对本部门使用的各项资产承担主要管理责任。</w:t>
      </w:r>
    </w:p>
    <w:p>
      <w:pPr>
        <w:pStyle w:val="4"/>
        <w:keepNext w:val="0"/>
        <w:keepLines w:val="0"/>
        <w:pageBreakBefore w:val="0"/>
        <w:widowControl w:val="0"/>
        <w:numPr>
          <w:ilvl w:val="0"/>
          <w:numId w:val="0"/>
        </w:numPr>
        <w:tabs>
          <w:tab w:val="left" w:pos="624"/>
        </w:tabs>
        <w:kinsoku/>
        <w:wordWrap/>
        <w:overflowPunct/>
        <w:topLinePunct w:val="0"/>
        <w:autoSpaceDE/>
        <w:autoSpaceDN/>
        <w:bidi w:val="0"/>
        <w:adjustRightInd/>
        <w:snapToGrid w:val="0"/>
        <w:spacing w:line="560" w:lineRule="exact"/>
        <w:ind w:firstLine="640" w:firstLineChars="200"/>
        <w:jc w:val="both"/>
        <w:textAlignment w:val="auto"/>
        <w:rPr>
          <w:rFonts w:hint="default" w:ascii="仿宋_GB2312" w:hAnsi="仿宋_GB2312" w:eastAsia="仿宋_GB2312" w:cs="仿宋_GB2312"/>
          <w:snapToGrid/>
          <w:color w:val="auto"/>
          <w:spacing w:val="0"/>
          <w:kern w:val="2"/>
          <w:sz w:val="32"/>
          <w:szCs w:val="32"/>
          <w:lang w:val="en-US" w:eastAsia="zh-CN" w:bidi="ar-SA"/>
        </w:rPr>
      </w:pPr>
      <w:r>
        <w:rPr>
          <w:rFonts w:hint="eastAsia" w:ascii="仿宋_GB2312" w:hAnsi="仿宋_GB2312" w:eastAsia="仿宋_GB2312" w:cs="仿宋_GB2312"/>
          <w:snapToGrid/>
          <w:color w:val="auto"/>
          <w:spacing w:val="0"/>
          <w:kern w:val="2"/>
          <w:sz w:val="32"/>
          <w:szCs w:val="32"/>
          <w:lang w:val="en-US" w:eastAsia="zh-CN" w:bidi="ar-SA"/>
        </w:rPr>
        <w:t>（二）教室内教学设备、教具由教务处管理；学校房屋、土地及公共区域设备由总务处管理；学生公寓设施、设备由德育处管理，所有信息化管理由综合办公室管理。</w:t>
      </w:r>
    </w:p>
    <w:p>
      <w:pPr>
        <w:pStyle w:val="4"/>
        <w:keepNext w:val="0"/>
        <w:keepLines w:val="0"/>
        <w:pageBreakBefore w:val="0"/>
        <w:widowControl w:val="0"/>
        <w:tabs>
          <w:tab w:val="left" w:pos="624"/>
        </w:tabs>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color w:val="auto"/>
          <w:sz w:val="32"/>
        </w:rPr>
      </w:pPr>
      <w:r>
        <w:rPr>
          <w:rFonts w:hint="eastAsia" w:ascii="仿宋_GB2312" w:hAnsi="仿宋_GB2312" w:eastAsia="仿宋_GB2312" w:cs="仿宋_GB2312"/>
          <w:snapToGrid/>
          <w:color w:val="auto"/>
          <w:spacing w:val="0"/>
          <w:kern w:val="2"/>
          <w:sz w:val="32"/>
          <w:szCs w:val="32"/>
          <w:lang w:val="en-US" w:eastAsia="zh-CN" w:bidi="ar-SA"/>
        </w:rPr>
        <w:t>（三）认真贯彻执行学校固定资产管理的</w:t>
      </w:r>
      <w:r>
        <w:rPr>
          <w:rFonts w:hint="eastAsia" w:ascii="仿宋_GB2312" w:eastAsia="仿宋_GB2312"/>
          <w:color w:val="auto"/>
          <w:sz w:val="32"/>
        </w:rPr>
        <w:t>规定和办法，</w:t>
      </w:r>
      <w:r>
        <w:rPr>
          <w:rFonts w:hint="eastAsia" w:ascii="仿宋_GB2312" w:hAnsi="仿宋_GB2312" w:eastAsia="仿宋_GB2312" w:cs="仿宋_GB2312"/>
          <w:color w:val="auto"/>
          <w:sz w:val="32"/>
          <w:szCs w:val="32"/>
          <w:lang w:val="en-US" w:eastAsia="zh-CN"/>
        </w:rPr>
        <w:t>管理责任层层分解，落实到人。</w:t>
      </w:r>
    </w:p>
    <w:p>
      <w:pPr>
        <w:pStyle w:val="4"/>
        <w:keepNext w:val="0"/>
        <w:keepLines w:val="0"/>
        <w:pageBreakBefore w:val="0"/>
        <w:widowControl w:val="0"/>
        <w:tabs>
          <w:tab w:val="left" w:pos="624"/>
        </w:tabs>
        <w:kinsoku/>
        <w:wordWrap/>
        <w:overflowPunct/>
        <w:topLinePunct w:val="0"/>
        <w:autoSpaceDE/>
        <w:autoSpaceDN/>
        <w:bidi w:val="0"/>
        <w:adjustRightInd/>
        <w:snapToGrid w:val="0"/>
        <w:spacing w:line="560" w:lineRule="exact"/>
        <w:ind w:firstLine="616" w:firstLineChars="200"/>
        <w:jc w:val="both"/>
        <w:textAlignment w:val="auto"/>
        <w:rPr>
          <w:rFonts w:hint="eastAsia" w:ascii="仿宋_GB2312" w:eastAsia="仿宋_GB2312"/>
          <w:color w:val="auto"/>
          <w:sz w:val="32"/>
          <w:lang w:eastAsia="zh-CN"/>
        </w:rPr>
      </w:pPr>
      <w:r>
        <w:rPr>
          <w:rFonts w:hint="eastAsia" w:ascii="仿宋_GB2312" w:eastAsia="仿宋_GB2312"/>
          <w:color w:val="auto"/>
          <w:sz w:val="32"/>
          <w:lang w:eastAsia="zh-CN"/>
        </w:rPr>
        <w:t>（</w:t>
      </w:r>
      <w:r>
        <w:rPr>
          <w:rFonts w:hint="eastAsia" w:ascii="仿宋_GB2312" w:eastAsia="仿宋_GB2312"/>
          <w:color w:val="auto"/>
          <w:sz w:val="32"/>
          <w:lang w:val="en-US" w:eastAsia="zh-CN"/>
        </w:rPr>
        <w:t>四）</w:t>
      </w:r>
      <w:r>
        <w:rPr>
          <w:rFonts w:hint="eastAsia" w:ascii="仿宋_GB2312" w:eastAsia="仿宋_GB2312"/>
          <w:color w:val="auto"/>
          <w:sz w:val="32"/>
        </w:rPr>
        <w:t>负责建立本部门的固定资产二级明细账，具体登记固定资产的增减数量、价值和分布等情况；保证固定资产明细账与资产卡片、实物核对一致</w:t>
      </w:r>
      <w:r>
        <w:rPr>
          <w:rFonts w:hint="eastAsia" w:ascii="仿宋_GB2312" w:eastAsia="仿宋_GB2312"/>
          <w:color w:val="auto"/>
          <w:sz w:val="32"/>
          <w:lang w:eastAsia="zh-CN"/>
        </w:rPr>
        <w:t>。</w:t>
      </w:r>
    </w:p>
    <w:p>
      <w:pPr>
        <w:pStyle w:val="4"/>
        <w:keepNext w:val="0"/>
        <w:keepLines w:val="0"/>
        <w:pageBreakBefore w:val="0"/>
        <w:widowControl w:val="0"/>
        <w:tabs>
          <w:tab w:val="left" w:pos="624"/>
        </w:tabs>
        <w:kinsoku/>
        <w:wordWrap/>
        <w:overflowPunct/>
        <w:topLinePunct w:val="0"/>
        <w:autoSpaceDE/>
        <w:autoSpaceDN/>
        <w:bidi w:val="0"/>
        <w:adjustRightInd/>
        <w:snapToGrid w:val="0"/>
        <w:spacing w:line="560" w:lineRule="exact"/>
        <w:ind w:firstLine="616" w:firstLineChars="200"/>
        <w:jc w:val="both"/>
        <w:textAlignment w:val="auto"/>
        <w:rPr>
          <w:rFonts w:hint="eastAsia" w:ascii="仿宋_GB2312" w:eastAsia="仿宋_GB2312"/>
          <w:color w:val="auto"/>
          <w:sz w:val="32"/>
          <w:lang w:eastAsia="zh-CN"/>
        </w:rPr>
      </w:pPr>
      <w:r>
        <w:rPr>
          <w:rFonts w:hint="eastAsia" w:ascii="仿宋_GB2312" w:eastAsia="仿宋_GB2312"/>
          <w:color w:val="auto"/>
          <w:sz w:val="32"/>
          <w:lang w:val="en-US" w:eastAsia="zh-CN"/>
        </w:rPr>
        <w:t>（五）</w:t>
      </w:r>
      <w:r>
        <w:rPr>
          <w:rFonts w:hint="eastAsia" w:ascii="仿宋_GB2312" w:eastAsia="仿宋_GB2312"/>
          <w:color w:val="auto"/>
          <w:sz w:val="32"/>
        </w:rPr>
        <w:t>认真核定资产</w:t>
      </w:r>
      <w:r>
        <w:rPr>
          <w:rFonts w:hint="eastAsia" w:ascii="仿宋_GB2312" w:eastAsia="仿宋_GB2312"/>
          <w:color w:val="auto"/>
          <w:sz w:val="32"/>
          <w:lang w:val="en-US" w:eastAsia="zh-CN"/>
        </w:rPr>
        <w:t>数</w:t>
      </w:r>
      <w:r>
        <w:rPr>
          <w:rFonts w:hint="eastAsia" w:ascii="仿宋_GB2312" w:eastAsia="仿宋_GB2312"/>
          <w:color w:val="auto"/>
          <w:sz w:val="32"/>
        </w:rPr>
        <w:t>量、对于长期闲置不用和超定额的固定资产，报</w:t>
      </w:r>
      <w:r>
        <w:rPr>
          <w:rFonts w:hint="eastAsia" w:ascii="仿宋_GB2312" w:eastAsia="仿宋_GB2312"/>
          <w:color w:val="auto"/>
          <w:sz w:val="32"/>
          <w:lang w:eastAsia="zh-CN"/>
        </w:rPr>
        <w:t>总务处</w:t>
      </w:r>
      <w:r>
        <w:rPr>
          <w:rFonts w:hint="eastAsia" w:ascii="仿宋_GB2312" w:eastAsia="仿宋_GB2312"/>
          <w:color w:val="auto"/>
          <w:sz w:val="32"/>
        </w:rPr>
        <w:t>核实后进行处置和调剂</w:t>
      </w:r>
      <w:r>
        <w:rPr>
          <w:rFonts w:hint="eastAsia" w:ascii="仿宋_GB2312" w:eastAsia="仿宋_GB2312"/>
          <w:color w:val="auto"/>
          <w:sz w:val="32"/>
          <w:lang w:eastAsia="zh-CN"/>
        </w:rPr>
        <w:t>。</w:t>
      </w:r>
    </w:p>
    <w:p>
      <w:pPr>
        <w:pStyle w:val="4"/>
        <w:keepNext w:val="0"/>
        <w:keepLines w:val="0"/>
        <w:pageBreakBefore w:val="0"/>
        <w:widowControl w:val="0"/>
        <w:tabs>
          <w:tab w:val="left" w:pos="624"/>
        </w:tabs>
        <w:kinsoku/>
        <w:wordWrap/>
        <w:overflowPunct/>
        <w:topLinePunct w:val="0"/>
        <w:autoSpaceDE/>
        <w:autoSpaceDN/>
        <w:bidi w:val="0"/>
        <w:adjustRightInd/>
        <w:snapToGrid w:val="0"/>
        <w:spacing w:line="560" w:lineRule="exact"/>
        <w:ind w:firstLine="616" w:firstLineChars="200"/>
        <w:jc w:val="both"/>
        <w:textAlignment w:val="auto"/>
        <w:rPr>
          <w:rFonts w:hint="eastAsia" w:ascii="仿宋_GB2312" w:eastAsia="仿宋_GB2312"/>
          <w:color w:val="auto"/>
          <w:sz w:val="32"/>
          <w:lang w:eastAsia="zh-CN"/>
        </w:rPr>
      </w:pPr>
      <w:r>
        <w:rPr>
          <w:rFonts w:hint="eastAsia" w:ascii="仿宋_GB2312" w:eastAsia="仿宋_GB2312"/>
          <w:color w:val="auto"/>
          <w:sz w:val="32"/>
          <w:lang w:val="en-US" w:eastAsia="zh-CN"/>
        </w:rPr>
        <w:t>（六）负责固定资产的日常保管养护，确保资产的安全、完整和有效利用，做到账物相符。</w:t>
      </w:r>
    </w:p>
    <w:p>
      <w:pPr>
        <w:keepNext w:val="0"/>
        <w:keepLines w:val="0"/>
        <w:pageBreakBefore w:val="0"/>
        <w:widowControl/>
        <w:kinsoku/>
        <w:wordWrap/>
        <w:overflowPunct/>
        <w:topLinePunct w:val="0"/>
        <w:autoSpaceDE/>
        <w:autoSpaceDN/>
        <w:bidi w:val="0"/>
        <w:adjustRightInd w:val="0"/>
        <w:snapToGrid w:val="0"/>
        <w:spacing w:line="560" w:lineRule="exact"/>
        <w:ind w:firstLine="640"/>
        <w:jc w:val="left"/>
        <w:textAlignment w:val="auto"/>
        <w:rPr>
          <w:rFonts w:hint="eastAsia" w:ascii="仿宋_GB2312" w:eastAsia="仿宋_GB2312"/>
          <w:color w:val="auto"/>
          <w:sz w:val="32"/>
        </w:rPr>
      </w:pPr>
      <w:r>
        <w:rPr>
          <w:rFonts w:hint="eastAsia" w:ascii="仿宋_GB2312" w:eastAsia="仿宋_GB2312"/>
          <w:color w:val="auto"/>
          <w:sz w:val="32"/>
          <w:lang w:val="en-US" w:eastAsia="zh-CN"/>
        </w:rPr>
        <w:t>（七）</w:t>
      </w:r>
      <w:r>
        <w:rPr>
          <w:rFonts w:hint="eastAsia" w:ascii="仿宋_GB2312" w:eastAsia="仿宋_GB2312"/>
          <w:color w:val="auto"/>
          <w:sz w:val="32"/>
        </w:rPr>
        <w:t>负责配合</w:t>
      </w:r>
      <w:r>
        <w:rPr>
          <w:rFonts w:hint="eastAsia" w:ascii="仿宋_GB2312" w:eastAsia="仿宋_GB2312"/>
          <w:color w:val="auto"/>
          <w:sz w:val="32"/>
          <w:lang w:eastAsia="zh-CN"/>
        </w:rPr>
        <w:t>总务处</w:t>
      </w:r>
      <w:r>
        <w:rPr>
          <w:rFonts w:hint="eastAsia" w:ascii="仿宋_GB2312" w:eastAsia="仿宋_GB2312"/>
          <w:color w:val="auto"/>
          <w:sz w:val="32"/>
        </w:rPr>
        <w:t>组织的</w:t>
      </w:r>
      <w:r>
        <w:rPr>
          <w:rFonts w:hint="eastAsia" w:ascii="仿宋_GB2312" w:hAnsi="仿宋_GB2312" w:eastAsia="仿宋_GB2312" w:cs="仿宋_GB2312"/>
          <w:color w:val="auto"/>
          <w:sz w:val="32"/>
          <w:szCs w:val="32"/>
          <w:lang w:val="en-US" w:eastAsia="zh-CN"/>
        </w:rPr>
        <w:t>固定资产清查盘点工作，对清查中发现的问题应查明原因进行上报。</w:t>
      </w:r>
    </w:p>
    <w:p>
      <w:pPr>
        <w:pStyle w:val="4"/>
        <w:keepNext w:val="0"/>
        <w:keepLines w:val="0"/>
        <w:pageBreakBefore w:val="0"/>
        <w:widowControl w:val="0"/>
        <w:tabs>
          <w:tab w:val="left" w:pos="624"/>
        </w:tabs>
        <w:kinsoku/>
        <w:wordWrap/>
        <w:overflowPunct/>
        <w:topLinePunct w:val="0"/>
        <w:autoSpaceDE/>
        <w:autoSpaceDN/>
        <w:bidi w:val="0"/>
        <w:adjustRightInd/>
        <w:snapToGrid w:val="0"/>
        <w:spacing w:line="560" w:lineRule="exact"/>
        <w:ind w:firstLine="616"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eastAsia="仿宋_GB2312"/>
          <w:color w:val="auto"/>
          <w:sz w:val="32"/>
          <w:lang w:eastAsia="zh-CN"/>
        </w:rPr>
        <w:t>（</w:t>
      </w:r>
      <w:r>
        <w:rPr>
          <w:rFonts w:hint="eastAsia" w:ascii="仿宋_GB2312" w:eastAsia="仿宋_GB2312"/>
          <w:color w:val="auto"/>
          <w:sz w:val="32"/>
          <w:lang w:val="en-US" w:eastAsia="zh-CN"/>
        </w:rPr>
        <w:t>八）</w:t>
      </w:r>
      <w:r>
        <w:rPr>
          <w:rFonts w:hint="eastAsia" w:ascii="仿宋_GB2312" w:hAnsi="仿宋_GB2312" w:eastAsia="仿宋_GB2312" w:cs="仿宋_GB2312"/>
          <w:color w:val="auto"/>
          <w:sz w:val="32"/>
          <w:szCs w:val="32"/>
          <w:lang w:val="en-US" w:eastAsia="zh-CN"/>
        </w:rPr>
        <w:t>部门之间需要进行固定资产调配的，应向总务处提交书面调拨申请，经审批同意后，方可进行实物资产的调拨并及时调整账簿，并更新资产管理系统。</w:t>
      </w:r>
    </w:p>
    <w:p>
      <w:pPr>
        <w:keepNext w:val="0"/>
        <w:keepLines w:val="0"/>
        <w:pageBreakBefore w:val="0"/>
        <w:widowControl/>
        <w:kinsoku/>
        <w:wordWrap/>
        <w:overflowPunct/>
        <w:topLinePunct w:val="0"/>
        <w:autoSpaceDE/>
        <w:autoSpaceDN/>
        <w:bidi w:val="0"/>
        <w:adjustRightInd w:val="0"/>
        <w:snapToGrid w:val="0"/>
        <w:spacing w:line="560" w:lineRule="exact"/>
        <w:ind w:firstLine="64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（九）对破损经维修仍不能使用的固定资产，及时向总务处提交固定资产报损、报废申请。经审批同意后，方可进行固定资产的报损、报废并及时调整账簿。</w:t>
      </w:r>
    </w:p>
    <w:p>
      <w:pPr>
        <w:pStyle w:val="4"/>
        <w:keepNext w:val="0"/>
        <w:keepLines w:val="0"/>
        <w:pageBreakBefore w:val="0"/>
        <w:widowControl w:val="0"/>
        <w:tabs>
          <w:tab w:val="left" w:pos="624"/>
        </w:tabs>
        <w:kinsoku/>
        <w:wordWrap/>
        <w:overflowPunct/>
        <w:topLinePunct w:val="0"/>
        <w:autoSpaceDE/>
        <w:autoSpaceDN/>
        <w:bidi w:val="0"/>
        <w:adjustRightInd/>
        <w:snapToGrid w:val="0"/>
        <w:spacing w:line="560" w:lineRule="exact"/>
        <w:ind w:firstLine="616" w:firstLineChars="200"/>
        <w:jc w:val="both"/>
        <w:textAlignment w:val="auto"/>
        <w:rPr>
          <w:rFonts w:hint="eastAsia" w:ascii="仿宋_GB2312" w:eastAsia="仿宋_GB2312"/>
          <w:color w:val="auto"/>
          <w:sz w:val="32"/>
          <w:lang w:val="en-US" w:eastAsia="zh-CN"/>
        </w:rPr>
      </w:pPr>
      <w:r>
        <w:rPr>
          <w:rFonts w:hint="eastAsia" w:ascii="仿宋_GB2312" w:hAnsi="仿宋_GB2312" w:eastAsia="仿宋_GB2312" w:cs="仿宋_GB2312"/>
          <w:color w:val="auto"/>
          <w:sz w:val="32"/>
          <w:szCs w:val="32"/>
          <w:lang w:val="en-US" w:eastAsia="zh-CN"/>
        </w:rPr>
        <w:t>（十）参与固定资产的验收工作。</w:t>
      </w:r>
    </w:p>
    <w:p>
      <w:pPr>
        <w:pStyle w:val="4"/>
        <w:keepNext w:val="0"/>
        <w:keepLines w:val="0"/>
        <w:pageBreakBefore w:val="0"/>
        <w:widowControl w:val="0"/>
        <w:tabs>
          <w:tab w:val="left" w:pos="624"/>
        </w:tabs>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color w:val="auto"/>
          <w:sz w:val="32"/>
          <w:lang w:val="en-US" w:eastAsia="zh-CN"/>
        </w:rPr>
      </w:pPr>
      <w:r>
        <w:rPr>
          <w:rFonts w:hint="eastAsia" w:ascii="楷体_GB2312" w:hAnsi="楷体_GB2312" w:eastAsia="楷体_GB2312" w:cs="楷体_GB2312"/>
          <w:b w:val="0"/>
          <w:bCs w:val="0"/>
          <w:snapToGrid/>
          <w:color w:val="auto"/>
          <w:spacing w:val="0"/>
          <w:kern w:val="2"/>
          <w:sz w:val="32"/>
          <w:szCs w:val="24"/>
          <w:lang w:val="en-US" w:eastAsia="zh-CN" w:bidi="ar-SA"/>
        </w:rPr>
        <w:t>第八条</w:t>
      </w:r>
      <w:r>
        <w:rPr>
          <w:rFonts w:hint="eastAsia" w:ascii="仿宋_GB2312" w:eastAsia="仿宋_GB2312"/>
          <w:color w:val="auto"/>
          <w:sz w:val="32"/>
          <w:lang w:val="en-US" w:eastAsia="zh-CN"/>
        </w:rPr>
        <w:t xml:space="preserve"> 建立固定资产使用管理情况考核制度，对长期闲</w:t>
      </w:r>
      <w:r>
        <w:rPr>
          <w:rFonts w:hint="eastAsia" w:ascii="仿宋_GB2312" w:eastAsia="仿宋_GB2312"/>
          <w:color w:val="auto"/>
          <w:sz w:val="32"/>
          <w:highlight w:val="none"/>
          <w:lang w:val="en-US" w:eastAsia="zh-CN"/>
        </w:rPr>
        <w:t>置、利用率低下的固</w:t>
      </w:r>
      <w:r>
        <w:rPr>
          <w:rFonts w:hint="eastAsia" w:ascii="仿宋_GB2312" w:eastAsia="仿宋_GB2312"/>
          <w:color w:val="auto"/>
          <w:sz w:val="32"/>
          <w:lang w:val="en-US" w:eastAsia="zh-CN"/>
        </w:rPr>
        <w:t>定资产不予上报的，总务处可及时进行调剂或共享，对相关部门进行通报批评，努力提高资产使用效率。</w:t>
      </w:r>
    </w:p>
    <w:p>
      <w:pPr>
        <w:pStyle w:val="4"/>
        <w:keepNext w:val="0"/>
        <w:keepLines w:val="0"/>
        <w:pageBreakBefore w:val="0"/>
        <w:widowControl w:val="0"/>
        <w:tabs>
          <w:tab w:val="left" w:pos="624"/>
        </w:tabs>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color w:val="auto"/>
          <w:sz w:val="32"/>
          <w:lang w:val="en-US" w:eastAsia="zh-CN"/>
        </w:rPr>
      </w:pPr>
      <w:r>
        <w:rPr>
          <w:rFonts w:hint="eastAsia" w:ascii="楷体_GB2312" w:hAnsi="楷体_GB2312" w:eastAsia="楷体_GB2312" w:cs="楷体_GB2312"/>
          <w:b w:val="0"/>
          <w:bCs w:val="0"/>
          <w:snapToGrid/>
          <w:color w:val="auto"/>
          <w:spacing w:val="0"/>
          <w:kern w:val="2"/>
          <w:sz w:val="32"/>
          <w:szCs w:val="24"/>
          <w:lang w:val="en-US" w:eastAsia="zh-CN" w:bidi="ar-SA"/>
        </w:rPr>
        <w:t>第九条</w:t>
      </w:r>
      <w:r>
        <w:rPr>
          <w:rFonts w:hint="eastAsia" w:ascii="仿宋_GB2312" w:eastAsia="仿宋_GB2312"/>
          <w:color w:val="auto"/>
          <w:sz w:val="32"/>
          <w:lang w:val="en-US" w:eastAsia="zh-CN"/>
        </w:rPr>
        <w:t xml:space="preserve"> 对造</w:t>
      </w:r>
      <w:bookmarkStart w:id="0" w:name="_GoBack"/>
      <w:bookmarkEnd w:id="0"/>
      <w:r>
        <w:rPr>
          <w:rFonts w:hint="eastAsia" w:ascii="仿宋_GB2312" w:eastAsia="仿宋_GB2312"/>
          <w:color w:val="auto"/>
          <w:sz w:val="32"/>
          <w:lang w:val="en-US" w:eastAsia="zh-CN"/>
        </w:rPr>
        <w:t>成固定资产被损坏，丢失或被盗的直接部门、部门资产管理员及负责人应根据具体情况定制赔偿或通报处罚，固定资产发生被盗，使用部门应及时向学校保卫部门报案，同时告知总务处，并迅速组织查找。</w:t>
      </w:r>
    </w:p>
    <w:p>
      <w:pPr>
        <w:pStyle w:val="4"/>
        <w:keepNext w:val="0"/>
        <w:keepLines w:val="0"/>
        <w:pageBreakBefore w:val="0"/>
        <w:widowControl w:val="0"/>
        <w:tabs>
          <w:tab w:val="left" w:pos="624"/>
        </w:tabs>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color w:val="auto"/>
          <w:sz w:val="32"/>
          <w:lang w:val="en-US" w:eastAsia="zh-CN"/>
        </w:rPr>
      </w:pPr>
      <w:r>
        <w:rPr>
          <w:rFonts w:hint="eastAsia" w:ascii="楷体_GB2312" w:hAnsi="楷体_GB2312" w:eastAsia="楷体_GB2312" w:cs="楷体_GB2312"/>
          <w:b w:val="0"/>
          <w:bCs w:val="0"/>
          <w:snapToGrid/>
          <w:color w:val="auto"/>
          <w:spacing w:val="0"/>
          <w:kern w:val="2"/>
          <w:sz w:val="32"/>
          <w:szCs w:val="24"/>
          <w:lang w:val="en-US" w:eastAsia="zh-CN" w:bidi="ar-SA"/>
        </w:rPr>
        <w:t>第十条</w:t>
      </w:r>
      <w:r>
        <w:rPr>
          <w:rFonts w:hint="eastAsia" w:ascii="仿宋_GB2312" w:eastAsia="仿宋_GB2312"/>
          <w:color w:val="auto"/>
          <w:sz w:val="32"/>
          <w:lang w:val="en-US" w:eastAsia="zh-CN"/>
        </w:rPr>
        <w:t xml:space="preserve"> 学校按照资产管理信息化的要求，建立资产管理信息系统并及时将固定资产变动信息录入资产管理信息系统中，对学校固定资产实行动态化管理、精细化管理。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right="0" w:rightChars="0" w:firstLine="0" w:firstLineChars="0"/>
        <w:jc w:val="center"/>
        <w:textAlignment w:val="auto"/>
        <w:rPr>
          <w:rFonts w:hint="default" w:ascii="黑体" w:hAnsi="Courier" w:eastAsia="黑体" w:cs="Times New Roman"/>
          <w:snapToGrid w:val="0"/>
          <w:spacing w:val="-6"/>
          <w:kern w:val="0"/>
          <w:sz w:val="32"/>
          <w:szCs w:val="20"/>
          <w:lang w:val="en-US" w:eastAsia="zh-CN" w:bidi="ar-SA"/>
        </w:rPr>
      </w:pPr>
      <w:r>
        <w:rPr>
          <w:rFonts w:hint="eastAsia" w:ascii="黑体" w:hAnsi="Courier" w:eastAsia="黑体" w:cs="Times New Roman"/>
          <w:snapToGrid w:val="0"/>
          <w:spacing w:val="-6"/>
          <w:kern w:val="0"/>
          <w:sz w:val="32"/>
          <w:szCs w:val="20"/>
          <w:lang w:val="en-US" w:eastAsia="zh-CN" w:bidi="ar-SA"/>
        </w:rPr>
        <w:t>第三章 固定资产和低值易耗品的范围、分类及计价</w:t>
      </w:r>
    </w:p>
    <w:p>
      <w:pPr>
        <w:pStyle w:val="4"/>
        <w:keepNext w:val="0"/>
        <w:keepLines w:val="0"/>
        <w:pageBreakBefore w:val="0"/>
        <w:widowControl w:val="0"/>
        <w:tabs>
          <w:tab w:val="left" w:pos="624"/>
        </w:tabs>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color w:val="auto"/>
          <w:sz w:val="32"/>
          <w:lang w:val="en-US" w:eastAsia="zh-CN"/>
        </w:rPr>
      </w:pPr>
      <w:r>
        <w:rPr>
          <w:rFonts w:hint="eastAsia" w:ascii="楷体_GB2312" w:hAnsi="楷体_GB2312" w:eastAsia="楷体_GB2312" w:cs="楷体_GB2312"/>
          <w:b w:val="0"/>
          <w:bCs w:val="0"/>
          <w:snapToGrid/>
          <w:color w:val="auto"/>
          <w:spacing w:val="0"/>
          <w:kern w:val="2"/>
          <w:sz w:val="32"/>
          <w:szCs w:val="24"/>
          <w:lang w:val="en-US" w:eastAsia="zh-CN" w:bidi="ar-SA"/>
        </w:rPr>
        <w:t>第十一条</w:t>
      </w:r>
      <w:r>
        <w:rPr>
          <w:rFonts w:hint="eastAsia" w:ascii="仿宋_GB2312" w:eastAsia="仿宋_GB2312"/>
          <w:color w:val="auto"/>
          <w:sz w:val="32"/>
          <w:lang w:val="en-US" w:eastAsia="zh-CN"/>
        </w:rPr>
        <w:t xml:space="preserve"> </w:t>
      </w:r>
      <w:r>
        <w:rPr>
          <w:rFonts w:hint="eastAsia" w:ascii="仿宋_GB2312" w:hAnsi="仿宋_GB2312" w:eastAsia="仿宋_GB2312" w:cs="仿宋_GB2312"/>
          <w:sz w:val="32"/>
          <w:szCs w:val="32"/>
        </w:rPr>
        <w:t>学校利用财政补助收入、上级补助收入、事业收入、经营服务收入、</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rPr>
        <w:t>收入购置、建设的固定资产，以及通过捐赠、调拨等形式取得的固定资产，都应纳入固定资产管理范围。</w:t>
      </w:r>
    </w:p>
    <w:p>
      <w:pPr>
        <w:pStyle w:val="4"/>
        <w:keepNext w:val="0"/>
        <w:keepLines w:val="0"/>
        <w:pageBreakBefore w:val="0"/>
        <w:widowControl w:val="0"/>
        <w:tabs>
          <w:tab w:val="left" w:pos="624"/>
        </w:tabs>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color w:val="auto"/>
          <w:sz w:val="32"/>
          <w:lang w:val="en-US" w:eastAsia="zh-CN"/>
        </w:rPr>
      </w:pPr>
      <w:r>
        <w:rPr>
          <w:rFonts w:hint="eastAsia" w:ascii="楷体_GB2312" w:hAnsi="楷体_GB2312" w:eastAsia="楷体_GB2312" w:cs="楷体_GB2312"/>
          <w:b w:val="0"/>
          <w:bCs w:val="0"/>
          <w:snapToGrid/>
          <w:color w:val="auto"/>
          <w:spacing w:val="0"/>
          <w:kern w:val="2"/>
          <w:sz w:val="32"/>
          <w:szCs w:val="24"/>
          <w:lang w:val="en-US" w:eastAsia="zh-CN" w:bidi="ar-SA"/>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固定资产和低值易耗品的范围</w:t>
      </w:r>
      <w:r>
        <w:rPr>
          <w:rFonts w:hint="eastAsia" w:ascii="仿宋_GB2312" w:eastAsia="仿宋_GB2312"/>
          <w:color w:val="auto"/>
          <w:sz w:val="32"/>
          <w:lang w:val="en-US" w:eastAsia="zh-CN"/>
        </w:rPr>
        <w:t>：</w:t>
      </w:r>
    </w:p>
    <w:p>
      <w:pPr>
        <w:pStyle w:val="4"/>
        <w:keepNext w:val="0"/>
        <w:keepLines w:val="0"/>
        <w:pageBreakBefore w:val="0"/>
        <w:widowControl w:val="0"/>
        <w:tabs>
          <w:tab w:val="left" w:pos="624"/>
        </w:tabs>
        <w:kinsoku/>
        <w:wordWrap/>
        <w:overflowPunct/>
        <w:topLinePunct w:val="0"/>
        <w:autoSpaceDE/>
        <w:autoSpaceDN/>
        <w:bidi w:val="0"/>
        <w:adjustRightInd/>
        <w:snapToGrid w:val="0"/>
        <w:spacing w:line="560" w:lineRule="exact"/>
        <w:ind w:firstLine="616"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固定资产的范围</w:t>
      </w:r>
    </w:p>
    <w:p>
      <w:pPr>
        <w:pStyle w:val="4"/>
        <w:keepNext w:val="0"/>
        <w:keepLines w:val="0"/>
        <w:pageBreakBefore w:val="0"/>
        <w:widowControl w:val="0"/>
        <w:tabs>
          <w:tab w:val="left" w:pos="624"/>
        </w:tabs>
        <w:kinsoku/>
        <w:wordWrap/>
        <w:overflowPunct/>
        <w:topLinePunct w:val="0"/>
        <w:autoSpaceDE/>
        <w:autoSpaceDN/>
        <w:bidi w:val="0"/>
        <w:adjustRightInd/>
        <w:snapToGrid w:val="0"/>
        <w:spacing w:line="560" w:lineRule="exact"/>
        <w:ind w:firstLine="616" w:firstLineChars="200"/>
        <w:jc w:val="both"/>
        <w:textAlignment w:val="auto"/>
        <w:rPr>
          <w:rFonts w:hint="eastAsia" w:ascii="仿宋_GB2312" w:eastAsia="仿宋_GB2312"/>
          <w:color w:val="auto"/>
          <w:sz w:val="32"/>
          <w:highlight w:val="none"/>
          <w:lang w:val="en-US" w:eastAsia="zh-CN"/>
        </w:rPr>
      </w:pPr>
      <w:r>
        <w:rPr>
          <w:rFonts w:hint="eastAsia" w:ascii="仿宋_GB2312" w:hAnsi="仿宋_GB2312" w:eastAsia="仿宋_GB2312" w:cs="仿宋_GB2312"/>
          <w:sz w:val="32"/>
          <w:szCs w:val="32"/>
          <w:lang w:val="en-US" w:eastAsia="zh-CN"/>
        </w:rPr>
        <w:t>1.单个</w:t>
      </w:r>
      <w:r>
        <w:rPr>
          <w:rFonts w:hint="eastAsia" w:ascii="仿宋_GB2312" w:hAnsi="仿宋_GB2312" w:eastAsia="仿宋_GB2312" w:cs="仿宋_GB2312"/>
          <w:sz w:val="32"/>
          <w:szCs w:val="32"/>
          <w:highlight w:val="none"/>
          <w:lang w:val="en-US" w:eastAsia="zh-CN"/>
        </w:rPr>
        <w:t>价值在1000元以上</w:t>
      </w:r>
      <w:r>
        <w:rPr>
          <w:rFonts w:hint="eastAsia" w:ascii="仿宋_GB2312" w:eastAsia="仿宋_GB2312"/>
          <w:color w:val="auto"/>
          <w:sz w:val="32"/>
          <w:highlight w:val="none"/>
          <w:lang w:val="en-US" w:eastAsia="zh-CN"/>
        </w:rPr>
        <w:t>，</w:t>
      </w:r>
      <w:r>
        <w:rPr>
          <w:rFonts w:hint="eastAsia" w:ascii="仿宋_GB2312" w:hAnsi="仿宋_GB2312" w:eastAsia="仿宋_GB2312" w:cs="仿宋_GB2312"/>
          <w:bCs/>
          <w:sz w:val="32"/>
          <w:szCs w:val="32"/>
          <w:highlight w:val="none"/>
        </w:rPr>
        <w:t>且耐用期在一年以上，并在使用过程中保持原有物质形态的物品。</w:t>
      </w:r>
    </w:p>
    <w:p>
      <w:pPr>
        <w:pStyle w:val="4"/>
        <w:keepNext w:val="0"/>
        <w:keepLines w:val="0"/>
        <w:pageBreakBefore w:val="0"/>
        <w:widowControl w:val="0"/>
        <w:tabs>
          <w:tab w:val="left" w:pos="624"/>
        </w:tabs>
        <w:kinsoku/>
        <w:wordWrap/>
        <w:overflowPunct/>
        <w:topLinePunct w:val="0"/>
        <w:autoSpaceDE/>
        <w:autoSpaceDN/>
        <w:bidi w:val="0"/>
        <w:adjustRightInd/>
        <w:snapToGrid w:val="0"/>
        <w:spacing w:line="560" w:lineRule="exact"/>
        <w:ind w:firstLine="616"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2.单</w:t>
      </w:r>
      <w:r>
        <w:rPr>
          <w:rFonts w:hint="eastAsia" w:ascii="仿宋_GB2312" w:hAnsi="仿宋_GB2312" w:eastAsia="仿宋_GB2312" w:cs="仿宋_GB2312"/>
          <w:bCs/>
          <w:sz w:val="32"/>
          <w:szCs w:val="32"/>
          <w:lang w:val="en-US" w:eastAsia="zh-CN"/>
        </w:rPr>
        <w:t>个</w:t>
      </w:r>
      <w:r>
        <w:rPr>
          <w:rFonts w:hint="eastAsia" w:ascii="仿宋_GB2312" w:hAnsi="仿宋_GB2312" w:eastAsia="仿宋_GB2312" w:cs="仿宋_GB2312"/>
          <w:bCs/>
          <w:sz w:val="32"/>
          <w:szCs w:val="32"/>
        </w:rPr>
        <w:t>价值虽未达到本条第一款规定标准，但耐用期在一年以上的大批同类物品（如实验、实训设备，家具，图书等）。</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3.符合本条第1款或第2款规定的学校自制、外单位捐赠、上级调拨的物品。</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4.单价不定、耐用期一年以上且非独立使用，专为别的固定资产配套使用的设备，属于附属设备或附件，应作为固定资产增值登记入账。</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（二）低值易耗品的范围</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sz w:val="32"/>
          <w:szCs w:val="32"/>
        </w:rPr>
        <w:t>将单</w:t>
      </w:r>
      <w:r>
        <w:rPr>
          <w:rFonts w:hint="eastAsia" w:ascii="仿宋_GB2312" w:hAnsi="仿宋_GB2312" w:eastAsia="仿宋_GB2312" w:cs="仿宋_GB2312"/>
          <w:sz w:val="32"/>
          <w:szCs w:val="32"/>
          <w:lang w:val="en-US" w:eastAsia="zh-CN"/>
        </w:rPr>
        <w:t>个</w:t>
      </w:r>
      <w:r>
        <w:rPr>
          <w:rFonts w:hint="eastAsia" w:ascii="仿宋_GB2312" w:hAnsi="仿宋_GB2312" w:eastAsia="仿宋_GB2312" w:cs="仿宋_GB2312"/>
          <w:sz w:val="32"/>
          <w:szCs w:val="32"/>
        </w:rPr>
        <w:t>价值在</w:t>
      </w:r>
      <w:r>
        <w:rPr>
          <w:rFonts w:hint="eastAsia" w:ascii="仿宋_GB2312" w:hAnsi="仿宋_GB2312" w:eastAsia="仿宋_GB2312" w:cs="仿宋_GB2312"/>
          <w:sz w:val="32"/>
          <w:szCs w:val="32"/>
          <w:highlight w:val="none"/>
          <w:lang w:val="en-US" w:eastAsia="zh-CN"/>
        </w:rPr>
        <w:t>300</w:t>
      </w:r>
      <w:r>
        <w:rPr>
          <w:rFonts w:hint="eastAsia" w:ascii="仿宋_GB2312" w:hAnsi="仿宋_GB2312" w:eastAsia="仿宋_GB2312" w:cs="仿宋_GB2312"/>
          <w:sz w:val="32"/>
          <w:szCs w:val="32"/>
        </w:rPr>
        <w:t>元以上、</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000元以下，且使用年限超过</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年，一次性使用不改变其形态、性能，可重复使用或出现正常损耗保持原有实物形态基本不变，且不符合固定资产标准的耐用物品列为低值易耗品。低值易耗品的管理按照固定资产的管理要求执行。</w:t>
      </w:r>
    </w:p>
    <w:p>
      <w:pPr>
        <w:pStyle w:val="4"/>
        <w:keepNext w:val="0"/>
        <w:keepLines w:val="0"/>
        <w:pageBreakBefore w:val="0"/>
        <w:widowControl w:val="0"/>
        <w:tabs>
          <w:tab w:val="left" w:pos="624"/>
        </w:tabs>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color w:val="auto"/>
          <w:sz w:val="32"/>
          <w:lang w:val="en-US" w:eastAsia="zh-CN"/>
        </w:rPr>
      </w:pPr>
      <w:r>
        <w:rPr>
          <w:rFonts w:hint="eastAsia" w:ascii="楷体_GB2312" w:hAnsi="楷体_GB2312" w:eastAsia="楷体_GB2312" w:cs="楷体_GB2312"/>
          <w:b w:val="0"/>
          <w:bCs w:val="0"/>
          <w:snapToGrid/>
          <w:color w:val="auto"/>
          <w:spacing w:val="0"/>
          <w:kern w:val="2"/>
          <w:sz w:val="32"/>
          <w:szCs w:val="24"/>
          <w:lang w:val="en-US" w:eastAsia="zh-CN" w:bidi="ar-SA"/>
        </w:rPr>
        <w:t>第十三条</w:t>
      </w:r>
      <w:r>
        <w:rPr>
          <w:rFonts w:hint="eastAsia" w:ascii="仿宋_GB2312" w:eastAsia="仿宋_GB2312"/>
          <w:color w:val="auto"/>
          <w:sz w:val="32"/>
          <w:lang w:val="en-US" w:eastAsia="zh-CN"/>
        </w:rPr>
        <w:t xml:space="preserve"> 固定资产的分类包括但不限于：</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highlight w:val="none"/>
          <w:lang w:eastAsia="zh-CN"/>
        </w:rPr>
        <w:t>（一）房屋及建筑物。是指产权属于学校的所有房屋建筑物及各种附属设施。</w:t>
      </w:r>
      <w:r>
        <w:rPr>
          <w:rFonts w:hint="eastAsia" w:ascii="仿宋_GB2312" w:hAnsi="仿宋_GB2312" w:eastAsia="仿宋_GB2312" w:cs="仿宋_GB2312"/>
          <w:bCs/>
          <w:sz w:val="32"/>
          <w:szCs w:val="32"/>
          <w:highlight w:val="none"/>
        </w:rPr>
        <w:t>包括</w:t>
      </w:r>
      <w:r>
        <w:rPr>
          <w:rFonts w:hint="eastAsia" w:ascii="仿宋_GB2312" w:hAnsi="仿宋_GB2312" w:eastAsia="仿宋_GB2312" w:cs="仿宋_GB2312"/>
          <w:bCs/>
          <w:sz w:val="32"/>
          <w:szCs w:val="32"/>
          <w:highlight w:val="none"/>
          <w:lang w:eastAsia="zh-CN"/>
        </w:rPr>
        <w:t>行政用房、教学用房、附属用房、建筑物及植物绿化等。如办公楼、教学楼、宿舍楼、餐厅楼、锅炉房、水塔、水井、围墙等及其附属的水、电、煤气、取暖、卫生等设施。</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highlight w:val="none"/>
        </w:rPr>
        <w:t>二）</w:t>
      </w:r>
      <w:r>
        <w:rPr>
          <w:rFonts w:hint="eastAsia" w:ascii="仿宋_GB2312" w:hAnsi="仿宋_GB2312" w:eastAsia="仿宋_GB2312" w:cs="仿宋_GB2312"/>
          <w:bCs/>
          <w:sz w:val="32"/>
          <w:szCs w:val="32"/>
          <w:highlight w:val="none"/>
          <w:lang w:eastAsia="zh-CN"/>
        </w:rPr>
        <w:t>设备与家具</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rPr>
        <w:t>是指主要用于教学、科研</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办公与事务的设备等。</w:t>
      </w:r>
      <w:r>
        <w:rPr>
          <w:rFonts w:hint="eastAsia" w:ascii="仿宋_GB2312" w:hAnsi="仿宋_GB2312" w:eastAsia="仿宋_GB2312" w:cs="仿宋_GB2312"/>
          <w:bCs/>
          <w:sz w:val="32"/>
          <w:szCs w:val="32"/>
          <w:lang w:eastAsia="zh-CN"/>
        </w:rPr>
        <w:t>包括机电设备、电子设备、医疗设备、学生课桌及家具、办公设备、工具量具器具、文体设备、标本模型、印刷机械等；</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（三）</w:t>
      </w:r>
      <w:r>
        <w:rPr>
          <w:rFonts w:hint="eastAsia" w:ascii="仿宋_GB2312" w:hAnsi="仿宋_GB2312" w:eastAsia="仿宋_GB2312" w:cs="仿宋_GB2312"/>
          <w:bCs/>
          <w:sz w:val="32"/>
          <w:szCs w:val="32"/>
          <w:lang w:eastAsia="zh-CN"/>
        </w:rPr>
        <w:t>改良支出</w:t>
      </w:r>
      <w:r>
        <w:rPr>
          <w:rFonts w:hint="eastAsia" w:ascii="仿宋_GB2312" w:hAnsi="仿宋_GB2312" w:eastAsia="仿宋_GB2312" w:cs="仿宋_GB2312"/>
          <w:bCs/>
          <w:sz w:val="32"/>
          <w:szCs w:val="32"/>
        </w:rPr>
        <w:t>。是指对固定资产进行改建、扩建、改良、维修</w:t>
      </w:r>
      <w:r>
        <w:rPr>
          <w:rFonts w:hint="eastAsia" w:ascii="仿宋_GB2312" w:hAnsi="仿宋_GB2312" w:eastAsia="仿宋_GB2312" w:cs="仿宋_GB2312"/>
          <w:bCs/>
          <w:sz w:val="32"/>
          <w:szCs w:val="32"/>
          <w:lang w:eastAsia="zh-CN"/>
        </w:rPr>
        <w:t>等</w:t>
      </w:r>
      <w:r>
        <w:rPr>
          <w:rFonts w:hint="eastAsia" w:ascii="仿宋_GB2312" w:hAnsi="仿宋_GB2312" w:eastAsia="仿宋_GB2312" w:cs="仿宋_GB2312"/>
          <w:bCs/>
          <w:sz w:val="32"/>
          <w:szCs w:val="32"/>
        </w:rPr>
        <w:t>所发生的支出。包括</w:t>
      </w:r>
      <w:r>
        <w:rPr>
          <w:rFonts w:hint="eastAsia" w:ascii="仿宋_GB2312" w:hAnsi="仿宋_GB2312" w:eastAsia="仿宋_GB2312" w:cs="仿宋_GB2312"/>
          <w:bCs/>
          <w:sz w:val="32"/>
          <w:szCs w:val="32"/>
          <w:lang w:eastAsia="zh-CN"/>
        </w:rPr>
        <w:t>设备改良、房屋改良</w:t>
      </w:r>
      <w:r>
        <w:rPr>
          <w:rFonts w:hint="eastAsia" w:ascii="仿宋_GB2312" w:hAnsi="仿宋_GB2312" w:eastAsia="仿宋_GB2312" w:cs="仿宋_GB2312"/>
          <w:bCs/>
          <w:sz w:val="32"/>
          <w:szCs w:val="32"/>
        </w:rPr>
        <w:t>等</w:t>
      </w:r>
      <w:r>
        <w:rPr>
          <w:rFonts w:hint="eastAsia" w:ascii="仿宋_GB2312" w:hAnsi="仿宋_GB2312" w:eastAsia="仿宋_GB2312" w:cs="仿宋_GB2312"/>
          <w:bCs/>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（四）</w:t>
      </w:r>
      <w:r>
        <w:rPr>
          <w:rFonts w:hint="eastAsia" w:ascii="仿宋_GB2312" w:hAnsi="仿宋_GB2312" w:eastAsia="仿宋_GB2312" w:cs="仿宋_GB2312"/>
          <w:bCs/>
          <w:sz w:val="32"/>
          <w:szCs w:val="32"/>
          <w:lang w:eastAsia="zh-CN"/>
        </w:rPr>
        <w:t>交通运输设备。包括各种交通运输工具；</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（五）</w:t>
      </w:r>
      <w:r>
        <w:rPr>
          <w:rFonts w:hint="eastAsia" w:ascii="仿宋_GB2312" w:hAnsi="仿宋_GB2312" w:eastAsia="仿宋_GB2312" w:cs="仿宋_GB2312"/>
          <w:bCs/>
          <w:sz w:val="32"/>
          <w:szCs w:val="32"/>
        </w:rPr>
        <w:t>图书。是指各种专业图书、技术图书和重要杂志等。</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（六）土地使用权。</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（七）软件、专利权。</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（八）著作、版权。</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（九）非专利技术。</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（十）商誉</w:t>
      </w:r>
      <w:r>
        <w:rPr>
          <w:rFonts w:hint="eastAsia" w:ascii="仿宋_GB2312" w:hAnsi="仿宋_GB2312" w:eastAsia="仿宋_GB2312" w:cs="仿宋_GB2312"/>
          <w:bCs/>
          <w:sz w:val="32"/>
          <w:szCs w:val="32"/>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Cs/>
          <w:sz w:val="32"/>
          <w:szCs w:val="32"/>
        </w:rPr>
        <w:t>其中土地使用权，软件、专利权，著作、版权，非专利技术，商誉等无形资产，按固定资产管理。</w:t>
      </w:r>
    </w:p>
    <w:p>
      <w:pPr>
        <w:pStyle w:val="4"/>
        <w:keepNext w:val="0"/>
        <w:keepLines w:val="0"/>
        <w:pageBreakBefore w:val="0"/>
        <w:widowControl w:val="0"/>
        <w:tabs>
          <w:tab w:val="left" w:pos="624"/>
        </w:tabs>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color w:val="auto"/>
          <w:sz w:val="32"/>
          <w:lang w:val="en-US" w:eastAsia="zh-CN"/>
        </w:rPr>
      </w:pPr>
      <w:r>
        <w:rPr>
          <w:rFonts w:hint="eastAsia" w:ascii="楷体_GB2312" w:hAnsi="楷体_GB2312" w:eastAsia="楷体_GB2312" w:cs="楷体_GB2312"/>
          <w:b w:val="0"/>
          <w:bCs w:val="0"/>
          <w:snapToGrid/>
          <w:color w:val="auto"/>
          <w:spacing w:val="0"/>
          <w:kern w:val="2"/>
          <w:sz w:val="32"/>
          <w:szCs w:val="24"/>
          <w:lang w:val="en-US" w:eastAsia="zh-CN" w:bidi="ar-SA"/>
        </w:rPr>
        <w:t>第十四条</w:t>
      </w:r>
      <w:r>
        <w:rPr>
          <w:rFonts w:hint="eastAsia" w:ascii="仿宋_GB2312" w:eastAsia="仿宋_GB2312"/>
          <w:color w:val="auto"/>
          <w:sz w:val="32"/>
          <w:lang w:val="en-US" w:eastAsia="zh-CN"/>
        </w:rPr>
        <w:t xml:space="preserve"> 固定资产按下列规定计价：</w:t>
      </w:r>
    </w:p>
    <w:p>
      <w:pPr>
        <w:pStyle w:val="4"/>
        <w:keepNext w:val="0"/>
        <w:keepLines w:val="0"/>
        <w:pageBreakBefore w:val="0"/>
        <w:widowControl w:val="0"/>
        <w:tabs>
          <w:tab w:val="left" w:pos="624"/>
        </w:tabs>
        <w:kinsoku/>
        <w:wordWrap/>
        <w:overflowPunct/>
        <w:topLinePunct w:val="0"/>
        <w:autoSpaceDE/>
        <w:autoSpaceDN/>
        <w:bidi w:val="0"/>
        <w:adjustRightInd/>
        <w:snapToGrid w:val="0"/>
        <w:spacing w:line="560" w:lineRule="exact"/>
        <w:ind w:firstLine="616" w:firstLineChars="200"/>
        <w:jc w:val="both"/>
        <w:textAlignment w:val="auto"/>
        <w:rPr>
          <w:rFonts w:hint="eastAsia" w:ascii="仿宋_GB2312" w:eastAsia="仿宋_GB2312"/>
          <w:color w:val="auto"/>
          <w:sz w:val="32"/>
          <w:lang w:val="en-US" w:eastAsia="zh-CN"/>
        </w:rPr>
      </w:pPr>
      <w:r>
        <w:rPr>
          <w:rFonts w:hint="eastAsia" w:ascii="仿宋_GB2312" w:eastAsia="仿宋_GB2312"/>
          <w:color w:val="auto"/>
          <w:sz w:val="32"/>
          <w:lang w:val="en-US" w:eastAsia="zh-CN"/>
        </w:rPr>
        <w:t>（一）购入、调入的固定资产，按购买固定资产实际支付的价款以及为使固定资产达到预期工作状态所支付的包装费、运杂费、保险费、安装调试费以及车辆购置附加费等计价；</w:t>
      </w:r>
    </w:p>
    <w:p>
      <w:pPr>
        <w:keepNext w:val="0"/>
        <w:keepLines w:val="0"/>
        <w:pageBreakBefore w:val="0"/>
        <w:kinsoku/>
        <w:wordWrap/>
        <w:overflowPunct/>
        <w:topLinePunct w:val="0"/>
        <w:autoSpaceDE/>
        <w:autoSpaceDN/>
        <w:bidi w:val="0"/>
        <w:spacing w:line="560" w:lineRule="exact"/>
        <w:ind w:left="51" w:right="94" w:firstLine="556"/>
        <w:textAlignment w:val="auto"/>
        <w:rPr>
          <w:rFonts w:hint="eastAsia" w:ascii="仿宋_GB2312" w:hAnsi="Courier" w:eastAsia="仿宋_GB2312" w:cs="Times New Roman"/>
          <w:snapToGrid w:val="0"/>
          <w:color w:val="auto"/>
          <w:spacing w:val="-6"/>
          <w:kern w:val="0"/>
          <w:sz w:val="32"/>
          <w:szCs w:val="20"/>
          <w:lang w:val="en-US" w:eastAsia="zh-CN" w:bidi="ar-SA"/>
        </w:rPr>
      </w:pPr>
      <w:r>
        <w:rPr>
          <w:rFonts w:hint="eastAsia" w:ascii="仿宋_GB2312" w:hAnsi="Courier" w:eastAsia="仿宋_GB2312" w:cs="Times New Roman"/>
          <w:snapToGrid w:val="0"/>
          <w:color w:val="auto"/>
          <w:spacing w:val="-6"/>
          <w:kern w:val="0"/>
          <w:sz w:val="32"/>
          <w:szCs w:val="20"/>
          <w:lang w:val="en-US" w:eastAsia="zh-CN" w:bidi="ar-SA"/>
        </w:rPr>
        <w:t>（二）自行建造的固定资产，其成本包括建造该项资产至交付使用前所发生的全部必要支出；包括物资成本、人工成本、机械施工、相关税费以及应分摊的间接费用等。</w:t>
      </w:r>
    </w:p>
    <w:p>
      <w:pPr>
        <w:keepNext w:val="0"/>
        <w:keepLines w:val="0"/>
        <w:pageBreakBefore w:val="0"/>
        <w:kinsoku/>
        <w:wordWrap/>
        <w:overflowPunct/>
        <w:topLinePunct w:val="0"/>
        <w:autoSpaceDE/>
        <w:autoSpaceDN/>
        <w:bidi w:val="0"/>
        <w:spacing w:line="560" w:lineRule="exact"/>
        <w:ind w:left="50" w:right="13" w:firstLine="557"/>
        <w:textAlignment w:val="auto"/>
        <w:rPr>
          <w:rFonts w:hint="eastAsia" w:ascii="仿宋_GB2312" w:hAnsi="Courier" w:eastAsia="仿宋_GB2312" w:cs="Times New Roman"/>
          <w:snapToGrid w:val="0"/>
          <w:color w:val="auto"/>
          <w:spacing w:val="-6"/>
          <w:kern w:val="0"/>
          <w:sz w:val="32"/>
          <w:szCs w:val="20"/>
          <w:lang w:val="en-US" w:eastAsia="zh-CN" w:bidi="ar-SA"/>
        </w:rPr>
      </w:pPr>
      <w:r>
        <w:rPr>
          <w:rFonts w:hint="eastAsia" w:ascii="仿宋_GB2312" w:hAnsi="Courier" w:eastAsia="仿宋_GB2312" w:cs="Times New Roman"/>
          <w:snapToGrid w:val="0"/>
          <w:color w:val="auto"/>
          <w:spacing w:val="-6"/>
          <w:kern w:val="0"/>
          <w:sz w:val="32"/>
          <w:szCs w:val="20"/>
          <w:lang w:val="en-US" w:eastAsia="zh-CN" w:bidi="ar-SA"/>
        </w:rPr>
        <w:t>（三）在原有固定资产基础上进行改建、扩建和修缮后的固定资产，其成本按照原固定资产账面价值加上改建、扩建和修缮发生的支出，减去改建、扩建过程中发生的变价收入后的净增加值计价。</w:t>
      </w:r>
    </w:p>
    <w:p>
      <w:pPr>
        <w:keepNext w:val="0"/>
        <w:keepLines w:val="0"/>
        <w:pageBreakBefore w:val="0"/>
        <w:kinsoku/>
        <w:wordWrap/>
        <w:overflowPunct/>
        <w:topLinePunct w:val="0"/>
        <w:autoSpaceDE/>
        <w:autoSpaceDN/>
        <w:bidi w:val="0"/>
        <w:spacing w:line="560" w:lineRule="exact"/>
        <w:ind w:left="51" w:right="24" w:firstLine="556"/>
        <w:textAlignment w:val="auto"/>
        <w:rPr>
          <w:rFonts w:hint="eastAsia" w:ascii="仿宋_GB2312" w:hAnsi="Courier" w:eastAsia="仿宋_GB2312" w:cs="Times New Roman"/>
          <w:snapToGrid w:val="0"/>
          <w:color w:val="auto"/>
          <w:spacing w:val="-6"/>
          <w:kern w:val="0"/>
          <w:sz w:val="32"/>
          <w:szCs w:val="20"/>
          <w:lang w:val="en-US" w:eastAsia="zh-CN" w:bidi="ar-SA"/>
        </w:rPr>
      </w:pPr>
      <w:r>
        <w:rPr>
          <w:rFonts w:hint="eastAsia" w:ascii="仿宋_GB2312" w:hAnsi="Courier" w:eastAsia="仿宋_GB2312" w:cs="Times New Roman"/>
          <w:snapToGrid w:val="0"/>
          <w:color w:val="auto"/>
          <w:spacing w:val="-6"/>
          <w:kern w:val="0"/>
          <w:sz w:val="32"/>
          <w:szCs w:val="20"/>
          <w:lang w:val="en-US" w:eastAsia="zh-CN" w:bidi="ar-SA"/>
        </w:rPr>
        <w:t>（四）接受捐赠的固定资产，按照捐赠者所提供的有关凭证入账；没有原始凭证的，按照同类资产市场价值入账。接受固定资产捐赠时实际发生的运杂费、安装调试费等各项相关费用，应计入固定资产价值。</w:t>
      </w:r>
    </w:p>
    <w:p>
      <w:pPr>
        <w:keepNext w:val="0"/>
        <w:keepLines w:val="0"/>
        <w:pageBreakBefore w:val="0"/>
        <w:kinsoku/>
        <w:wordWrap/>
        <w:overflowPunct/>
        <w:topLinePunct w:val="0"/>
        <w:autoSpaceDE/>
        <w:autoSpaceDN/>
        <w:bidi w:val="0"/>
        <w:spacing w:line="560" w:lineRule="exact"/>
        <w:ind w:left="607"/>
        <w:textAlignment w:val="auto"/>
        <w:rPr>
          <w:rFonts w:ascii="仿宋" w:hAnsi="仿宋" w:eastAsia="仿宋" w:cs="仿宋"/>
          <w:sz w:val="28"/>
          <w:szCs w:val="28"/>
        </w:rPr>
      </w:pPr>
      <w:r>
        <w:rPr>
          <w:rFonts w:hint="eastAsia" w:ascii="仿宋_GB2312" w:hAnsi="Courier" w:eastAsia="仿宋_GB2312" w:cs="Times New Roman"/>
          <w:snapToGrid w:val="0"/>
          <w:color w:val="auto"/>
          <w:spacing w:val="-6"/>
          <w:kern w:val="0"/>
          <w:sz w:val="32"/>
          <w:szCs w:val="20"/>
          <w:lang w:val="en-US" w:eastAsia="zh-CN" w:bidi="ar-SA"/>
        </w:rPr>
        <w:t>（五）盘盈的固定资产，按照重置完全价值计价。</w:t>
      </w:r>
    </w:p>
    <w:p>
      <w:pPr>
        <w:pStyle w:val="4"/>
        <w:keepNext w:val="0"/>
        <w:keepLines w:val="0"/>
        <w:pageBreakBefore w:val="0"/>
        <w:widowControl w:val="0"/>
        <w:tabs>
          <w:tab w:val="left" w:pos="624"/>
        </w:tabs>
        <w:kinsoku/>
        <w:wordWrap/>
        <w:overflowPunct/>
        <w:topLinePunct w:val="0"/>
        <w:autoSpaceDE/>
        <w:autoSpaceDN/>
        <w:bidi w:val="0"/>
        <w:adjustRightInd/>
        <w:snapToGrid w:val="0"/>
        <w:spacing w:line="560" w:lineRule="exact"/>
        <w:ind w:firstLine="616" w:firstLineChars="200"/>
        <w:jc w:val="both"/>
        <w:textAlignment w:val="auto"/>
        <w:rPr>
          <w:rFonts w:hint="eastAsia" w:ascii="仿宋_GB2312" w:eastAsia="仿宋_GB2312"/>
          <w:color w:val="auto"/>
          <w:sz w:val="32"/>
          <w:lang w:val="en-US" w:eastAsia="zh-CN"/>
        </w:rPr>
      </w:pPr>
      <w:r>
        <w:rPr>
          <w:rFonts w:hint="eastAsia" w:ascii="仿宋_GB2312" w:eastAsia="仿宋_GB2312"/>
          <w:color w:val="auto"/>
          <w:sz w:val="32"/>
          <w:lang w:val="en-US" w:eastAsia="zh-CN"/>
        </w:rPr>
        <w:t>（六）购置固定资产过程中发生的差旅费，不计入固定资产价值。</w:t>
      </w:r>
    </w:p>
    <w:p>
      <w:pPr>
        <w:pStyle w:val="4"/>
        <w:keepNext w:val="0"/>
        <w:keepLines w:val="0"/>
        <w:pageBreakBefore w:val="0"/>
        <w:widowControl w:val="0"/>
        <w:tabs>
          <w:tab w:val="left" w:pos="624"/>
        </w:tabs>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color w:val="auto"/>
          <w:sz w:val="32"/>
          <w:lang w:val="en-US" w:eastAsia="zh-CN"/>
        </w:rPr>
      </w:pPr>
      <w:r>
        <w:rPr>
          <w:rFonts w:hint="eastAsia" w:ascii="楷体_GB2312" w:hAnsi="楷体_GB2312" w:eastAsia="楷体_GB2312" w:cs="楷体_GB2312"/>
          <w:b w:val="0"/>
          <w:bCs w:val="0"/>
          <w:snapToGrid/>
          <w:color w:val="auto"/>
          <w:spacing w:val="0"/>
          <w:kern w:val="2"/>
          <w:sz w:val="32"/>
          <w:szCs w:val="24"/>
          <w:lang w:val="en-US" w:eastAsia="zh-CN" w:bidi="ar-SA"/>
        </w:rPr>
        <w:t>第十五条</w:t>
      </w:r>
      <w:r>
        <w:rPr>
          <w:rFonts w:hint="eastAsia" w:ascii="仿宋_GB2312" w:eastAsia="仿宋_GB2312"/>
          <w:color w:val="auto"/>
          <w:sz w:val="32"/>
          <w:lang w:val="en-US" w:eastAsia="zh-CN"/>
        </w:rPr>
        <w:t xml:space="preserve"> 已入账的固定资产除发生下列情况，不得任意变动固定资产账面价值：</w:t>
      </w:r>
    </w:p>
    <w:p>
      <w:pPr>
        <w:pStyle w:val="4"/>
        <w:keepNext w:val="0"/>
        <w:keepLines w:val="0"/>
        <w:pageBreakBefore w:val="0"/>
        <w:widowControl w:val="0"/>
        <w:tabs>
          <w:tab w:val="left" w:pos="624"/>
        </w:tabs>
        <w:kinsoku/>
        <w:wordWrap/>
        <w:overflowPunct/>
        <w:topLinePunct w:val="0"/>
        <w:autoSpaceDE/>
        <w:autoSpaceDN/>
        <w:bidi w:val="0"/>
        <w:adjustRightInd/>
        <w:snapToGrid w:val="0"/>
        <w:spacing w:line="560" w:lineRule="exact"/>
        <w:ind w:firstLine="616" w:firstLineChars="200"/>
        <w:jc w:val="both"/>
        <w:textAlignment w:val="auto"/>
        <w:rPr>
          <w:rFonts w:hint="eastAsia" w:ascii="仿宋_GB2312" w:eastAsia="仿宋_GB2312"/>
          <w:color w:val="auto"/>
          <w:sz w:val="32"/>
          <w:lang w:val="en-US" w:eastAsia="zh-CN"/>
        </w:rPr>
      </w:pPr>
      <w:r>
        <w:rPr>
          <w:rFonts w:hint="eastAsia" w:ascii="仿宋_GB2312" w:eastAsia="仿宋_GB2312"/>
          <w:color w:val="auto"/>
          <w:sz w:val="32"/>
          <w:lang w:val="en-US" w:eastAsia="zh-CN"/>
        </w:rPr>
        <w:t>（一）根据学校规定对固定资产进行估价的；</w:t>
      </w:r>
    </w:p>
    <w:p>
      <w:pPr>
        <w:pStyle w:val="4"/>
        <w:keepNext w:val="0"/>
        <w:keepLines w:val="0"/>
        <w:pageBreakBefore w:val="0"/>
        <w:widowControl w:val="0"/>
        <w:tabs>
          <w:tab w:val="left" w:pos="624"/>
        </w:tabs>
        <w:kinsoku/>
        <w:wordWrap/>
        <w:overflowPunct/>
        <w:topLinePunct w:val="0"/>
        <w:autoSpaceDE/>
        <w:autoSpaceDN/>
        <w:bidi w:val="0"/>
        <w:adjustRightInd/>
        <w:snapToGrid w:val="0"/>
        <w:spacing w:line="560" w:lineRule="exact"/>
        <w:ind w:firstLine="616" w:firstLineChars="200"/>
        <w:jc w:val="both"/>
        <w:textAlignment w:val="auto"/>
        <w:rPr>
          <w:rFonts w:hint="eastAsia" w:ascii="仿宋_GB2312" w:eastAsia="仿宋_GB2312"/>
          <w:color w:val="auto"/>
          <w:sz w:val="32"/>
          <w:lang w:val="en-US" w:eastAsia="zh-CN"/>
        </w:rPr>
      </w:pPr>
      <w:r>
        <w:rPr>
          <w:rFonts w:hint="eastAsia" w:ascii="仿宋_GB2312" w:eastAsia="仿宋_GB2312"/>
          <w:color w:val="auto"/>
          <w:sz w:val="32"/>
          <w:lang w:val="en-US" w:eastAsia="zh-CN"/>
        </w:rPr>
        <w:t>（二）增加补充设备或改良装置的；</w:t>
      </w:r>
    </w:p>
    <w:p>
      <w:pPr>
        <w:pStyle w:val="4"/>
        <w:keepNext w:val="0"/>
        <w:keepLines w:val="0"/>
        <w:pageBreakBefore w:val="0"/>
        <w:widowControl w:val="0"/>
        <w:tabs>
          <w:tab w:val="left" w:pos="624"/>
        </w:tabs>
        <w:kinsoku/>
        <w:wordWrap/>
        <w:overflowPunct/>
        <w:topLinePunct w:val="0"/>
        <w:autoSpaceDE/>
        <w:autoSpaceDN/>
        <w:bidi w:val="0"/>
        <w:adjustRightInd/>
        <w:snapToGrid w:val="0"/>
        <w:spacing w:line="560" w:lineRule="exact"/>
        <w:ind w:firstLine="616" w:firstLineChars="200"/>
        <w:jc w:val="both"/>
        <w:textAlignment w:val="auto"/>
        <w:rPr>
          <w:rFonts w:hint="eastAsia" w:ascii="仿宋_GB2312" w:eastAsia="仿宋_GB2312"/>
          <w:color w:val="auto"/>
          <w:sz w:val="32"/>
          <w:lang w:val="en-US" w:eastAsia="zh-CN"/>
        </w:rPr>
      </w:pPr>
      <w:r>
        <w:rPr>
          <w:rFonts w:hint="eastAsia" w:ascii="仿宋_GB2312" w:eastAsia="仿宋_GB2312"/>
          <w:color w:val="auto"/>
          <w:sz w:val="32"/>
          <w:lang w:val="en-US" w:eastAsia="zh-CN"/>
        </w:rPr>
        <w:t>（三）将固定资产一部分拆除的；</w:t>
      </w:r>
    </w:p>
    <w:p>
      <w:pPr>
        <w:pStyle w:val="4"/>
        <w:keepNext w:val="0"/>
        <w:keepLines w:val="0"/>
        <w:pageBreakBefore w:val="0"/>
        <w:widowControl w:val="0"/>
        <w:tabs>
          <w:tab w:val="left" w:pos="624"/>
        </w:tabs>
        <w:kinsoku/>
        <w:wordWrap/>
        <w:overflowPunct/>
        <w:topLinePunct w:val="0"/>
        <w:autoSpaceDE/>
        <w:autoSpaceDN/>
        <w:bidi w:val="0"/>
        <w:adjustRightInd/>
        <w:snapToGrid w:val="0"/>
        <w:spacing w:line="560" w:lineRule="exact"/>
        <w:ind w:firstLine="616" w:firstLineChars="200"/>
        <w:jc w:val="both"/>
        <w:textAlignment w:val="auto"/>
        <w:rPr>
          <w:rFonts w:hint="eastAsia" w:ascii="仿宋_GB2312" w:eastAsia="仿宋_GB2312"/>
          <w:color w:val="auto"/>
          <w:sz w:val="32"/>
          <w:lang w:val="en-US" w:eastAsia="zh-CN"/>
        </w:rPr>
      </w:pPr>
      <w:r>
        <w:rPr>
          <w:rFonts w:hint="eastAsia" w:ascii="仿宋_GB2312" w:eastAsia="仿宋_GB2312"/>
          <w:color w:val="auto"/>
          <w:sz w:val="32"/>
          <w:lang w:val="en-US" w:eastAsia="zh-CN"/>
        </w:rPr>
        <w:t>（四）根据实际价值调整原来暂估价值的；</w:t>
      </w:r>
    </w:p>
    <w:p>
      <w:pPr>
        <w:pStyle w:val="4"/>
        <w:keepNext w:val="0"/>
        <w:keepLines w:val="0"/>
        <w:pageBreakBefore w:val="0"/>
        <w:widowControl w:val="0"/>
        <w:tabs>
          <w:tab w:val="left" w:pos="624"/>
        </w:tabs>
        <w:kinsoku/>
        <w:wordWrap/>
        <w:overflowPunct/>
        <w:topLinePunct w:val="0"/>
        <w:autoSpaceDE/>
        <w:autoSpaceDN/>
        <w:bidi w:val="0"/>
        <w:adjustRightInd/>
        <w:snapToGrid w:val="0"/>
        <w:spacing w:line="560" w:lineRule="exact"/>
        <w:ind w:firstLine="616" w:firstLineChars="200"/>
        <w:jc w:val="both"/>
        <w:textAlignment w:val="auto"/>
        <w:rPr>
          <w:rFonts w:hint="eastAsia" w:ascii="仿宋_GB2312" w:eastAsia="仿宋_GB2312"/>
          <w:color w:val="auto"/>
          <w:sz w:val="32"/>
          <w:lang w:val="en-US" w:eastAsia="zh-CN"/>
        </w:rPr>
      </w:pPr>
      <w:r>
        <w:rPr>
          <w:rFonts w:hint="eastAsia" w:ascii="仿宋_GB2312" w:eastAsia="仿宋_GB2312"/>
          <w:color w:val="auto"/>
          <w:sz w:val="32"/>
          <w:lang w:val="en-US" w:eastAsia="zh-CN"/>
        </w:rPr>
        <w:t>（五）发现原来计入固定资产价值有误的。</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仿宋_GB2312" w:eastAsia="仿宋_GB2312"/>
          <w:color w:val="auto"/>
          <w:sz w:val="32"/>
          <w:lang w:val="en-US" w:eastAsia="zh-CN"/>
        </w:rPr>
      </w:pPr>
      <w:r>
        <w:rPr>
          <w:rFonts w:hint="eastAsia" w:ascii="黑体" w:hAnsi="Courier" w:eastAsia="黑体" w:cs="Times New Roman"/>
          <w:snapToGrid w:val="0"/>
          <w:spacing w:val="-6"/>
          <w:kern w:val="0"/>
          <w:sz w:val="32"/>
          <w:szCs w:val="20"/>
          <w:lang w:val="en-US" w:eastAsia="zh-CN" w:bidi="ar-SA"/>
        </w:rPr>
        <w:t>第四章 固定资产的配置</w:t>
      </w:r>
    </w:p>
    <w:p>
      <w:pPr>
        <w:pStyle w:val="4"/>
        <w:keepNext w:val="0"/>
        <w:keepLines w:val="0"/>
        <w:pageBreakBefore w:val="0"/>
        <w:widowControl w:val="0"/>
        <w:tabs>
          <w:tab w:val="left" w:pos="624"/>
        </w:tabs>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color w:val="auto"/>
          <w:sz w:val="32"/>
          <w:lang w:val="en-US" w:eastAsia="zh-CN"/>
        </w:rPr>
      </w:pPr>
      <w:r>
        <w:rPr>
          <w:rFonts w:hint="eastAsia" w:ascii="楷体_GB2312" w:hAnsi="楷体_GB2312" w:eastAsia="楷体_GB2312" w:cs="楷体_GB2312"/>
          <w:b w:val="0"/>
          <w:bCs w:val="0"/>
          <w:snapToGrid/>
          <w:color w:val="auto"/>
          <w:spacing w:val="0"/>
          <w:kern w:val="2"/>
          <w:sz w:val="32"/>
          <w:szCs w:val="24"/>
          <w:lang w:val="en-US" w:eastAsia="zh-CN" w:bidi="ar-SA"/>
        </w:rPr>
        <w:t>第十六条</w:t>
      </w:r>
      <w:r>
        <w:rPr>
          <w:rFonts w:hint="eastAsia" w:ascii="仿宋_GB2312" w:eastAsia="仿宋_GB2312"/>
          <w:color w:val="auto"/>
          <w:sz w:val="32"/>
          <w:lang w:val="en-US" w:eastAsia="zh-CN"/>
        </w:rPr>
        <w:t xml:space="preserve"> </w:t>
      </w:r>
      <w:r>
        <w:rPr>
          <w:rFonts w:hint="default" w:ascii="仿宋_GB2312" w:hAnsi="仿宋_GB2312" w:eastAsia="仿宋_GB2312" w:cs="仿宋_GB2312"/>
          <w:bCs/>
          <w:color w:val="auto"/>
          <w:sz w:val="32"/>
          <w:szCs w:val="32"/>
          <w:lang w:val="en-US" w:eastAsia="zh-CN"/>
        </w:rPr>
        <w:t>固定资产配置是学校根据各部门</w:t>
      </w:r>
      <w:r>
        <w:rPr>
          <w:rFonts w:hint="eastAsia" w:ascii="仿宋_GB2312" w:hAnsi="仿宋_GB2312" w:eastAsia="仿宋_GB2312" w:cs="仿宋_GB2312"/>
          <w:bCs/>
          <w:color w:val="auto"/>
          <w:sz w:val="32"/>
          <w:szCs w:val="32"/>
          <w:lang w:val="en-US" w:eastAsia="zh-CN"/>
        </w:rPr>
        <w:t>实际</w:t>
      </w:r>
      <w:r>
        <w:rPr>
          <w:rFonts w:hint="default" w:ascii="仿宋_GB2312" w:hAnsi="仿宋_GB2312" w:eastAsia="仿宋_GB2312" w:cs="仿宋_GB2312"/>
          <w:bCs/>
          <w:color w:val="auto"/>
          <w:sz w:val="32"/>
          <w:szCs w:val="32"/>
          <w:lang w:val="en-US" w:eastAsia="zh-CN"/>
        </w:rPr>
        <w:t>需要，为其配备固定资产的行为。配置方式包括购置、调拨、建造等。</w:t>
      </w:r>
    </w:p>
    <w:p>
      <w:pPr>
        <w:pStyle w:val="4"/>
        <w:keepNext w:val="0"/>
        <w:keepLines w:val="0"/>
        <w:pageBreakBefore w:val="0"/>
        <w:widowControl w:val="0"/>
        <w:tabs>
          <w:tab w:val="left" w:pos="624"/>
        </w:tabs>
        <w:kinsoku/>
        <w:wordWrap/>
        <w:overflowPunct/>
        <w:topLinePunct w:val="0"/>
        <w:autoSpaceDE/>
        <w:autoSpaceDN/>
        <w:bidi w:val="0"/>
        <w:adjustRightInd/>
        <w:snapToGrid w:val="0"/>
        <w:spacing w:line="560" w:lineRule="exact"/>
        <w:ind w:firstLine="640" w:firstLineChars="200"/>
        <w:jc w:val="both"/>
        <w:textAlignment w:val="auto"/>
        <w:rPr>
          <w:rFonts w:hint="default" w:ascii="仿宋_GB2312" w:eastAsia="仿宋_GB2312"/>
          <w:color w:val="auto"/>
          <w:sz w:val="32"/>
          <w:lang w:val="en-US" w:eastAsia="zh-CN"/>
        </w:rPr>
      </w:pPr>
      <w:r>
        <w:rPr>
          <w:rFonts w:hint="eastAsia" w:ascii="楷体_GB2312" w:hAnsi="楷体_GB2312" w:eastAsia="楷体_GB2312" w:cs="楷体_GB2312"/>
          <w:b w:val="0"/>
          <w:bCs w:val="0"/>
          <w:snapToGrid/>
          <w:color w:val="auto"/>
          <w:spacing w:val="0"/>
          <w:kern w:val="2"/>
          <w:sz w:val="32"/>
          <w:szCs w:val="24"/>
          <w:lang w:val="en-US" w:eastAsia="zh-CN" w:bidi="ar-SA"/>
        </w:rPr>
        <w:t xml:space="preserve">第十七条 </w:t>
      </w:r>
      <w:r>
        <w:rPr>
          <w:rFonts w:hint="eastAsia" w:ascii="仿宋_GB2312" w:hAnsi="仿宋_GB2312" w:eastAsia="仿宋_GB2312" w:cs="仿宋_GB2312"/>
          <w:bCs/>
          <w:color w:val="auto"/>
          <w:sz w:val="32"/>
          <w:szCs w:val="32"/>
          <w:lang w:val="en-US" w:eastAsia="zh-CN"/>
        </w:rPr>
        <w:t>固定资产配置应当优先通过调拨方式解决，充分利用现有资产的使用效率，防止闲置、重复购置；无法调拨的应当根据发展规划和学科建设要求，</w:t>
      </w:r>
      <w:r>
        <w:rPr>
          <w:rFonts w:hint="default" w:ascii="仿宋_GB2312" w:hAnsi="仿宋_GB2312" w:eastAsia="仿宋_GB2312" w:cs="仿宋_GB2312"/>
          <w:bCs/>
          <w:color w:val="auto"/>
          <w:sz w:val="32"/>
          <w:szCs w:val="32"/>
          <w:lang w:val="en-US" w:eastAsia="zh-CN"/>
        </w:rPr>
        <w:t>应当符合学校规定的配置标准，</w:t>
      </w:r>
      <w:r>
        <w:rPr>
          <w:rFonts w:hint="eastAsia" w:ascii="仿宋_GB2312" w:hAnsi="仿宋_GB2312" w:eastAsia="仿宋_GB2312" w:cs="仿宋_GB2312"/>
          <w:bCs/>
          <w:color w:val="auto"/>
          <w:sz w:val="32"/>
          <w:szCs w:val="32"/>
          <w:lang w:val="en-US" w:eastAsia="zh-CN"/>
        </w:rPr>
        <w:t>从严控制、合理地购置、建造。</w:t>
      </w:r>
    </w:p>
    <w:p>
      <w:pPr>
        <w:pStyle w:val="4"/>
        <w:keepNext w:val="0"/>
        <w:keepLines w:val="0"/>
        <w:pageBreakBefore w:val="0"/>
        <w:widowControl w:val="0"/>
        <w:tabs>
          <w:tab w:val="left" w:pos="624"/>
        </w:tabs>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Cs/>
          <w:color w:val="auto"/>
          <w:sz w:val="32"/>
          <w:szCs w:val="32"/>
          <w:lang w:val="en-US" w:eastAsia="zh-CN"/>
        </w:rPr>
      </w:pPr>
      <w:r>
        <w:rPr>
          <w:rFonts w:hint="eastAsia" w:ascii="楷体_GB2312" w:hAnsi="楷体_GB2312" w:eastAsia="楷体_GB2312" w:cs="楷体_GB2312"/>
          <w:b w:val="0"/>
          <w:bCs w:val="0"/>
          <w:snapToGrid/>
          <w:color w:val="auto"/>
          <w:spacing w:val="0"/>
          <w:kern w:val="2"/>
          <w:sz w:val="32"/>
          <w:szCs w:val="24"/>
          <w:lang w:val="en-US" w:eastAsia="zh-CN" w:bidi="ar-SA"/>
        </w:rPr>
        <w:t>第十八条</w:t>
      </w:r>
      <w:r>
        <w:rPr>
          <w:rFonts w:hint="eastAsia" w:ascii="仿宋_GB2312" w:eastAsia="仿宋_GB2312"/>
          <w:b w:val="0"/>
          <w:bCs w:val="0"/>
          <w:color w:val="auto"/>
          <w:sz w:val="32"/>
          <w:lang w:val="en-US" w:eastAsia="zh-CN"/>
        </w:rPr>
        <w:t xml:space="preserve"> 固</w:t>
      </w:r>
      <w:r>
        <w:rPr>
          <w:rFonts w:hint="eastAsia" w:ascii="仿宋_GB2312" w:hAnsi="仿宋_GB2312" w:eastAsia="仿宋_GB2312" w:cs="仿宋_GB2312"/>
          <w:bCs/>
          <w:color w:val="auto"/>
          <w:sz w:val="32"/>
          <w:szCs w:val="32"/>
          <w:lang w:val="en-US" w:eastAsia="zh-CN"/>
        </w:rPr>
        <w:t>定资产的购置实行预算管理，原则上只能在预算内购置资产，预算外或超出预算额度的，必须申请增补预算，在预算增加后才能购置。</w:t>
      </w:r>
    </w:p>
    <w:p>
      <w:pPr>
        <w:pStyle w:val="4"/>
        <w:keepNext w:val="0"/>
        <w:keepLines w:val="0"/>
        <w:pageBreakBefore w:val="0"/>
        <w:widowControl w:val="0"/>
        <w:tabs>
          <w:tab w:val="left" w:pos="624"/>
        </w:tabs>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color w:val="auto"/>
          <w:sz w:val="32"/>
          <w:lang w:val="en-US" w:eastAsia="zh-CN"/>
        </w:rPr>
      </w:pPr>
      <w:r>
        <w:rPr>
          <w:rFonts w:hint="eastAsia" w:ascii="楷体_GB2312" w:hAnsi="楷体_GB2312" w:eastAsia="楷体_GB2312" w:cs="楷体_GB2312"/>
          <w:b w:val="0"/>
          <w:bCs w:val="0"/>
          <w:snapToGrid/>
          <w:color w:val="auto"/>
          <w:spacing w:val="0"/>
          <w:kern w:val="2"/>
          <w:sz w:val="32"/>
          <w:szCs w:val="24"/>
          <w:lang w:val="en-US" w:eastAsia="zh-CN" w:bidi="ar-SA"/>
        </w:rPr>
        <w:t xml:space="preserve">第十九条 </w:t>
      </w:r>
      <w:r>
        <w:rPr>
          <w:rFonts w:hint="eastAsia" w:ascii="仿宋_GB2312" w:hAnsi="仿宋_GB2312" w:eastAsia="仿宋_GB2312" w:cs="仿宋_GB2312"/>
          <w:bCs/>
          <w:color w:val="auto"/>
          <w:sz w:val="32"/>
          <w:szCs w:val="32"/>
          <w:lang w:val="en-US" w:eastAsia="zh-CN"/>
        </w:rPr>
        <w:t>使用</w:t>
      </w:r>
      <w:r>
        <w:rPr>
          <w:rFonts w:hint="default" w:ascii="仿宋_GB2312" w:hAnsi="仿宋_GB2312" w:eastAsia="仿宋_GB2312" w:cs="仿宋_GB2312"/>
          <w:bCs/>
          <w:color w:val="auto"/>
          <w:sz w:val="32"/>
          <w:szCs w:val="32"/>
          <w:lang w:val="en-US" w:eastAsia="zh-CN"/>
        </w:rPr>
        <w:t>部门应当于学校预算编制前，</w:t>
      </w:r>
      <w:r>
        <w:rPr>
          <w:rFonts w:hint="eastAsia" w:ascii="仿宋_GB2312" w:hAnsi="仿宋_GB2312" w:eastAsia="仿宋_GB2312" w:cs="仿宋_GB2312"/>
          <w:bCs/>
          <w:color w:val="auto"/>
          <w:sz w:val="32"/>
          <w:szCs w:val="32"/>
          <w:lang w:val="en-US" w:eastAsia="zh-CN"/>
        </w:rPr>
        <w:t>结合部门</w:t>
      </w:r>
      <w:r>
        <w:rPr>
          <w:rFonts w:hint="default" w:ascii="仿宋_GB2312" w:hAnsi="仿宋_GB2312" w:eastAsia="仿宋_GB2312" w:cs="仿宋_GB2312"/>
          <w:bCs/>
          <w:color w:val="auto"/>
          <w:sz w:val="32"/>
          <w:szCs w:val="32"/>
          <w:lang w:val="en-US" w:eastAsia="zh-CN"/>
        </w:rPr>
        <w:t>发展</w:t>
      </w:r>
      <w:r>
        <w:rPr>
          <w:rFonts w:hint="eastAsia" w:ascii="仿宋_GB2312" w:hAnsi="仿宋_GB2312" w:eastAsia="仿宋_GB2312" w:cs="仿宋_GB2312"/>
          <w:bCs/>
          <w:color w:val="auto"/>
          <w:sz w:val="32"/>
          <w:szCs w:val="32"/>
          <w:lang w:val="en-US" w:eastAsia="zh-CN"/>
        </w:rPr>
        <w:t>规划提出</w:t>
      </w:r>
      <w:r>
        <w:rPr>
          <w:rFonts w:hint="default" w:ascii="仿宋_GB2312" w:hAnsi="仿宋_GB2312" w:eastAsia="仿宋_GB2312" w:cs="仿宋_GB2312"/>
          <w:bCs/>
          <w:color w:val="auto"/>
          <w:sz w:val="32"/>
          <w:szCs w:val="32"/>
          <w:lang w:val="en-US" w:eastAsia="zh-CN"/>
        </w:rPr>
        <w:t>固定资产配置申请</w:t>
      </w:r>
      <w:r>
        <w:rPr>
          <w:rFonts w:hint="eastAsia" w:ascii="仿宋_GB2312" w:hAnsi="仿宋_GB2312" w:eastAsia="仿宋_GB2312" w:cs="仿宋_GB2312"/>
          <w:bCs/>
          <w:color w:val="auto"/>
          <w:sz w:val="32"/>
          <w:szCs w:val="32"/>
          <w:lang w:val="en-US" w:eastAsia="zh-CN"/>
        </w:rPr>
        <w:t>。总务处</w:t>
      </w:r>
      <w:r>
        <w:rPr>
          <w:rFonts w:hint="default" w:ascii="仿宋_GB2312" w:hAnsi="仿宋_GB2312" w:eastAsia="仿宋_GB2312" w:cs="仿宋_GB2312"/>
          <w:bCs/>
          <w:color w:val="auto"/>
          <w:sz w:val="32"/>
          <w:szCs w:val="32"/>
          <w:lang w:val="en-US" w:eastAsia="zh-CN"/>
        </w:rPr>
        <w:t>结合学校各类固定资产存量</w:t>
      </w:r>
      <w:r>
        <w:rPr>
          <w:rFonts w:hint="eastAsia" w:ascii="仿宋_GB2312" w:hAnsi="仿宋_GB2312" w:eastAsia="仿宋_GB2312" w:cs="仿宋_GB2312"/>
          <w:bCs/>
          <w:color w:val="auto"/>
          <w:sz w:val="32"/>
          <w:szCs w:val="32"/>
          <w:lang w:val="en-US" w:eastAsia="zh-CN"/>
        </w:rPr>
        <w:t>，提出固定资产购置计划，报学校审议批准。</w:t>
      </w:r>
      <w:r>
        <w:rPr>
          <w:rFonts w:hint="default" w:ascii="仿宋_GB2312" w:hAnsi="仿宋_GB2312" w:eastAsia="仿宋_GB2312" w:cs="仿宋_GB2312"/>
          <w:bCs/>
          <w:color w:val="auto"/>
          <w:sz w:val="32"/>
          <w:szCs w:val="32"/>
          <w:lang w:val="en-US" w:eastAsia="zh-CN"/>
        </w:rPr>
        <w:t>经</w:t>
      </w:r>
      <w:r>
        <w:rPr>
          <w:rFonts w:hint="eastAsia" w:ascii="仿宋_GB2312" w:hAnsi="仿宋_GB2312" w:eastAsia="仿宋_GB2312" w:cs="仿宋_GB2312"/>
          <w:bCs/>
          <w:color w:val="auto"/>
          <w:sz w:val="32"/>
          <w:szCs w:val="32"/>
          <w:lang w:val="en-US" w:eastAsia="zh-CN"/>
        </w:rPr>
        <w:t>学校</w:t>
      </w:r>
      <w:r>
        <w:rPr>
          <w:rFonts w:hint="default" w:ascii="仿宋_GB2312" w:hAnsi="仿宋_GB2312" w:eastAsia="仿宋_GB2312" w:cs="仿宋_GB2312"/>
          <w:bCs/>
          <w:color w:val="auto"/>
          <w:sz w:val="32"/>
          <w:szCs w:val="32"/>
          <w:lang w:val="en-US" w:eastAsia="zh-CN"/>
        </w:rPr>
        <w:t>审议批准的固定资产购置计划，</w:t>
      </w:r>
      <w:r>
        <w:rPr>
          <w:rFonts w:hint="eastAsia" w:ascii="仿宋_GB2312" w:hAnsi="仿宋_GB2312" w:eastAsia="仿宋_GB2312" w:cs="仿宋_GB2312"/>
          <w:bCs/>
          <w:color w:val="auto"/>
          <w:sz w:val="32"/>
          <w:szCs w:val="32"/>
          <w:lang w:val="en-US" w:eastAsia="zh-CN"/>
        </w:rPr>
        <w:t>报集团后勤部审议批准后</w:t>
      </w:r>
      <w:r>
        <w:rPr>
          <w:rFonts w:hint="default" w:ascii="仿宋_GB2312" w:hAnsi="仿宋_GB2312" w:eastAsia="仿宋_GB2312" w:cs="仿宋_GB2312"/>
          <w:bCs/>
          <w:color w:val="auto"/>
          <w:sz w:val="32"/>
          <w:szCs w:val="32"/>
          <w:lang w:val="en-US" w:eastAsia="zh-CN"/>
        </w:rPr>
        <w:t>列入</w:t>
      </w:r>
      <w:r>
        <w:rPr>
          <w:rFonts w:hint="eastAsia" w:ascii="仿宋_GB2312" w:hAnsi="仿宋_GB2312" w:eastAsia="仿宋_GB2312" w:cs="仿宋_GB2312"/>
          <w:bCs/>
          <w:color w:val="auto"/>
          <w:sz w:val="32"/>
          <w:szCs w:val="32"/>
          <w:lang w:val="en-US" w:eastAsia="zh-CN"/>
        </w:rPr>
        <w:t>使用部门</w:t>
      </w:r>
      <w:r>
        <w:rPr>
          <w:rFonts w:hint="default" w:ascii="仿宋_GB2312" w:hAnsi="仿宋_GB2312" w:eastAsia="仿宋_GB2312" w:cs="仿宋_GB2312"/>
          <w:bCs/>
          <w:color w:val="auto"/>
          <w:sz w:val="32"/>
          <w:szCs w:val="32"/>
          <w:lang w:val="en-US" w:eastAsia="zh-CN"/>
        </w:rPr>
        <w:t>下一年度预算，</w:t>
      </w:r>
      <w:r>
        <w:rPr>
          <w:rFonts w:hint="eastAsia" w:ascii="仿宋_GB2312" w:hAnsi="仿宋_GB2312" w:eastAsia="仿宋_GB2312" w:cs="仿宋_GB2312"/>
          <w:bCs/>
          <w:color w:val="auto"/>
          <w:sz w:val="32"/>
          <w:szCs w:val="32"/>
          <w:lang w:val="en-US" w:eastAsia="zh-CN"/>
        </w:rPr>
        <w:t>按照学校采购程序办理。</w:t>
      </w:r>
    </w:p>
    <w:p>
      <w:pPr>
        <w:pStyle w:val="4"/>
        <w:keepNext w:val="0"/>
        <w:keepLines w:val="0"/>
        <w:pageBreakBefore w:val="0"/>
        <w:widowControl w:val="0"/>
        <w:tabs>
          <w:tab w:val="left" w:pos="624"/>
        </w:tabs>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color w:val="auto"/>
          <w:sz w:val="32"/>
          <w:lang w:val="en-US" w:eastAsia="zh-CN"/>
        </w:rPr>
      </w:pPr>
      <w:r>
        <w:rPr>
          <w:rFonts w:hint="eastAsia" w:ascii="楷体_GB2312" w:hAnsi="楷体_GB2312" w:eastAsia="楷体_GB2312" w:cs="楷体_GB2312"/>
          <w:b w:val="0"/>
          <w:bCs w:val="0"/>
          <w:snapToGrid/>
          <w:color w:val="auto"/>
          <w:spacing w:val="0"/>
          <w:kern w:val="2"/>
          <w:sz w:val="32"/>
          <w:szCs w:val="24"/>
          <w:lang w:val="en-US" w:eastAsia="zh-CN" w:bidi="ar-SA"/>
        </w:rPr>
        <w:t xml:space="preserve">第二十条 </w:t>
      </w:r>
      <w:r>
        <w:rPr>
          <w:rFonts w:hint="eastAsia" w:ascii="仿宋_GB2312" w:eastAsia="仿宋_GB2312"/>
          <w:color w:val="auto"/>
          <w:sz w:val="32"/>
          <w:lang w:val="en-US" w:eastAsia="zh-CN"/>
        </w:rPr>
        <w:t>固定资产的验收。</w:t>
      </w:r>
    </w:p>
    <w:p>
      <w:pPr>
        <w:pStyle w:val="4"/>
        <w:keepNext w:val="0"/>
        <w:keepLines w:val="0"/>
        <w:pageBreakBefore w:val="0"/>
        <w:widowControl w:val="0"/>
        <w:tabs>
          <w:tab w:val="left" w:pos="624"/>
        </w:tabs>
        <w:kinsoku/>
        <w:wordWrap/>
        <w:overflowPunct/>
        <w:topLinePunct w:val="0"/>
        <w:autoSpaceDE/>
        <w:autoSpaceDN/>
        <w:bidi w:val="0"/>
        <w:adjustRightInd/>
        <w:snapToGrid w:val="0"/>
        <w:spacing w:line="560" w:lineRule="exact"/>
        <w:ind w:firstLine="616" w:firstLineChars="200"/>
        <w:jc w:val="both"/>
        <w:textAlignment w:val="auto"/>
        <w:rPr>
          <w:rFonts w:hint="eastAsia" w:ascii="仿宋_GB2312" w:eastAsia="仿宋_GB2312"/>
          <w:color w:val="auto"/>
          <w:sz w:val="32"/>
          <w:lang w:val="en-US" w:eastAsia="zh-CN"/>
        </w:rPr>
      </w:pPr>
      <w:r>
        <w:rPr>
          <w:rFonts w:hint="eastAsia" w:ascii="仿宋_GB2312" w:eastAsia="仿宋_GB2312"/>
          <w:color w:val="auto"/>
          <w:sz w:val="32"/>
          <w:lang w:val="en-US" w:eastAsia="zh-CN"/>
        </w:rPr>
        <w:t>（一）无需安装的固定资产购置到货后，采购部门应提前提出验收申请，固定资产管理部门组织使用部门、采购部门等相关部门或技术人员应及时验收，根据采购订单或采购合同，核对该资产的规格型号，检查其外观是否完好无损、附件及技术资料是否齐全，技术参数是否符合要求，进行到货验收，办理资产验收、交接、入账手续。</w:t>
      </w:r>
    </w:p>
    <w:p>
      <w:pPr>
        <w:keepNext w:val="0"/>
        <w:keepLines w:val="0"/>
        <w:pageBreakBefore w:val="0"/>
        <w:kinsoku/>
        <w:wordWrap/>
        <w:overflowPunct/>
        <w:topLinePunct w:val="0"/>
        <w:autoSpaceDE/>
        <w:autoSpaceDN/>
        <w:bidi w:val="0"/>
        <w:spacing w:line="560" w:lineRule="exact"/>
        <w:ind w:left="50" w:firstLine="557"/>
        <w:textAlignment w:val="auto"/>
        <w:rPr>
          <w:rFonts w:hint="eastAsia" w:ascii="仿宋_GB2312" w:hAnsi="Courier" w:eastAsia="仿宋_GB2312" w:cs="Times New Roman"/>
          <w:snapToGrid w:val="0"/>
          <w:color w:val="auto"/>
          <w:spacing w:val="-6"/>
          <w:kern w:val="0"/>
          <w:sz w:val="32"/>
          <w:szCs w:val="20"/>
          <w:lang w:val="en-US" w:eastAsia="zh-CN" w:bidi="ar-SA"/>
        </w:rPr>
      </w:pPr>
      <w:r>
        <w:rPr>
          <w:rFonts w:hint="eastAsia" w:ascii="仿宋_GB2312" w:hAnsi="Courier" w:eastAsia="仿宋_GB2312" w:cs="Times New Roman"/>
          <w:snapToGrid w:val="0"/>
          <w:color w:val="auto"/>
          <w:spacing w:val="-6"/>
          <w:kern w:val="0"/>
          <w:sz w:val="32"/>
          <w:szCs w:val="20"/>
          <w:lang w:val="en-US" w:eastAsia="zh-CN" w:bidi="ar-SA"/>
        </w:rPr>
        <w:t>（二）需要安装的固定资产购置安装后，使用部门对已安装调试到位的固定资产组织试用、检测，确保正常运行，如有质量问题应及时与采购部门沟通，由供应商进行整改，经整改合格后才能组织验收，如试用、检测正常符合要求，由固定资产管理部门组织使用部门、采购部门和供应商现场进行质量验收，填写验收报告，办理资产</w:t>
      </w:r>
      <w:r>
        <w:rPr>
          <w:rFonts w:hint="eastAsia" w:ascii="仿宋_GB2312" w:eastAsia="仿宋_GB2312"/>
          <w:color w:val="auto"/>
          <w:sz w:val="32"/>
          <w:lang w:val="en-US" w:eastAsia="zh-CN"/>
        </w:rPr>
        <w:t>验收、交接、入账手续</w:t>
      </w:r>
      <w:r>
        <w:rPr>
          <w:rFonts w:hint="eastAsia" w:ascii="仿宋_GB2312" w:hAnsi="Courier" w:eastAsia="仿宋_GB2312" w:cs="Times New Roman"/>
          <w:snapToGrid w:val="0"/>
          <w:color w:val="auto"/>
          <w:spacing w:val="-6"/>
          <w:kern w:val="0"/>
          <w:sz w:val="32"/>
          <w:szCs w:val="20"/>
          <w:lang w:val="en-US" w:eastAsia="zh-CN" w:bidi="ar-SA"/>
        </w:rPr>
        <w:t>。</w:t>
      </w:r>
    </w:p>
    <w:p>
      <w:pPr>
        <w:keepNext w:val="0"/>
        <w:keepLines w:val="0"/>
        <w:pageBreakBefore w:val="0"/>
        <w:kinsoku/>
        <w:wordWrap/>
        <w:overflowPunct/>
        <w:topLinePunct w:val="0"/>
        <w:autoSpaceDE/>
        <w:autoSpaceDN/>
        <w:bidi w:val="0"/>
        <w:spacing w:line="560" w:lineRule="exact"/>
        <w:ind w:left="50" w:firstLine="557"/>
        <w:textAlignment w:val="auto"/>
        <w:rPr>
          <w:rFonts w:hint="eastAsia" w:ascii="仿宋_GB2312" w:hAnsi="Courier" w:eastAsia="仿宋_GB2312" w:cs="Times New Roman"/>
          <w:snapToGrid w:val="0"/>
          <w:color w:val="auto"/>
          <w:spacing w:val="-6"/>
          <w:kern w:val="0"/>
          <w:sz w:val="32"/>
          <w:szCs w:val="20"/>
          <w:lang w:val="en-US" w:eastAsia="zh-CN" w:bidi="ar-SA"/>
        </w:rPr>
      </w:pPr>
      <w:r>
        <w:rPr>
          <w:rFonts w:hint="eastAsia" w:ascii="仿宋_GB2312" w:hAnsi="Courier" w:eastAsia="仿宋_GB2312" w:cs="Times New Roman"/>
          <w:snapToGrid w:val="0"/>
          <w:color w:val="auto"/>
          <w:spacing w:val="-6"/>
          <w:kern w:val="0"/>
          <w:sz w:val="32"/>
          <w:szCs w:val="20"/>
          <w:lang w:val="en-US" w:eastAsia="zh-CN" w:bidi="ar-SA"/>
        </w:rPr>
        <w:t>（三）验收不合格的物资、资产，严禁投入使用，不得办理验收、交接、结算手续，由采购部门进行退换货手续。</w:t>
      </w:r>
    </w:p>
    <w:p>
      <w:pPr>
        <w:keepNext w:val="0"/>
        <w:keepLines w:val="0"/>
        <w:pageBreakBefore w:val="0"/>
        <w:kinsoku/>
        <w:wordWrap/>
        <w:overflowPunct/>
        <w:topLinePunct w:val="0"/>
        <w:autoSpaceDE/>
        <w:autoSpaceDN/>
        <w:bidi w:val="0"/>
        <w:spacing w:line="560" w:lineRule="exact"/>
        <w:ind w:left="50" w:firstLine="557"/>
        <w:textAlignment w:val="auto"/>
        <w:rPr>
          <w:rFonts w:hint="eastAsia" w:ascii="仿宋_GB2312" w:hAnsi="Courier" w:eastAsia="仿宋_GB2312" w:cs="Times New Roman"/>
          <w:snapToGrid w:val="0"/>
          <w:color w:val="auto"/>
          <w:spacing w:val="-6"/>
          <w:kern w:val="0"/>
          <w:sz w:val="32"/>
          <w:szCs w:val="20"/>
          <w:lang w:val="en-US" w:eastAsia="zh-CN" w:bidi="ar-SA"/>
        </w:rPr>
      </w:pPr>
      <w:r>
        <w:rPr>
          <w:rFonts w:hint="eastAsia" w:ascii="仿宋_GB2312" w:hAnsi="Courier" w:eastAsia="仿宋_GB2312" w:cs="Times New Roman"/>
          <w:snapToGrid w:val="0"/>
          <w:color w:val="auto"/>
          <w:spacing w:val="-6"/>
          <w:kern w:val="0"/>
          <w:sz w:val="32"/>
          <w:szCs w:val="20"/>
          <w:lang w:val="en-US" w:eastAsia="zh-CN" w:bidi="ar-SA"/>
        </w:rPr>
        <w:t>（四）精密、贵重仪器设备（单台（件）或成套价格大于或等于人民币10万元以上）到货安装调试后，采购部门应提前提出验收申请，固定资产管理部门通知使用部门负责人组织技术力量，由厂家（或供应商）、采购人员、技术人员、资产管理人员及涉及的相关部门负责人组成验收小组及时进行严格的验收，由固定资产管理部门以及使用部门填写精密、贵重仪器设备验收报告，办理资产</w:t>
      </w:r>
      <w:r>
        <w:rPr>
          <w:rFonts w:hint="eastAsia" w:ascii="仿宋_GB2312" w:eastAsia="仿宋_GB2312"/>
          <w:color w:val="auto"/>
          <w:sz w:val="32"/>
          <w:lang w:val="en-US" w:eastAsia="zh-CN"/>
        </w:rPr>
        <w:t>验收、交接、入账手续</w:t>
      </w:r>
      <w:r>
        <w:rPr>
          <w:rFonts w:hint="eastAsia" w:ascii="仿宋_GB2312" w:hAnsi="Courier" w:eastAsia="仿宋_GB2312" w:cs="Times New Roman"/>
          <w:snapToGrid w:val="0"/>
          <w:color w:val="auto"/>
          <w:spacing w:val="-6"/>
          <w:kern w:val="0"/>
          <w:sz w:val="32"/>
          <w:szCs w:val="20"/>
          <w:lang w:val="en-US" w:eastAsia="zh-CN" w:bidi="ar-SA"/>
        </w:rPr>
        <w:t>。验收时，厂家（或供应商）应提供有关图纸、说明书、照片、合格证书、售后承诺函、质检报告等相关技术资料，完成验收后由固定资产管理部门存档，使用部门需要的可保存复印件。</w:t>
      </w:r>
    </w:p>
    <w:p>
      <w:pPr>
        <w:keepNext w:val="0"/>
        <w:keepLines w:val="0"/>
        <w:pageBreakBefore w:val="0"/>
        <w:kinsoku/>
        <w:wordWrap/>
        <w:overflowPunct/>
        <w:topLinePunct w:val="0"/>
        <w:autoSpaceDE/>
        <w:autoSpaceDN/>
        <w:bidi w:val="0"/>
        <w:spacing w:line="560" w:lineRule="exact"/>
        <w:ind w:left="50" w:firstLine="557"/>
        <w:textAlignment w:val="auto"/>
        <w:rPr>
          <w:rFonts w:hint="eastAsia" w:ascii="仿宋_GB2312" w:hAnsi="Courier" w:eastAsia="仿宋_GB2312" w:cs="Times New Roman"/>
          <w:snapToGrid w:val="0"/>
          <w:color w:val="auto"/>
          <w:spacing w:val="-6"/>
          <w:kern w:val="0"/>
          <w:sz w:val="32"/>
          <w:szCs w:val="20"/>
          <w:lang w:val="en-US" w:eastAsia="zh-CN" w:bidi="ar-SA"/>
        </w:rPr>
      </w:pPr>
      <w:r>
        <w:rPr>
          <w:rFonts w:hint="eastAsia" w:ascii="仿宋_GB2312" w:hAnsi="Courier" w:eastAsia="仿宋_GB2312" w:cs="Times New Roman"/>
          <w:snapToGrid w:val="0"/>
          <w:color w:val="auto"/>
          <w:spacing w:val="-6"/>
          <w:kern w:val="0"/>
          <w:sz w:val="32"/>
          <w:szCs w:val="20"/>
          <w:lang w:val="en-US" w:eastAsia="zh-CN" w:bidi="ar-SA"/>
        </w:rPr>
        <w:t>（五）接受捐赠的固定资产，由固定资产管理部门、使用部门和捐赠单位办理接受验收，由财务部门估值入账环节，验收报告详细记录收到固定资产的名称、数量、型号规格、技术资料、备品备件、产品外包装及产品外观情况等，验收合格后按照凭证办理</w:t>
      </w:r>
      <w:r>
        <w:rPr>
          <w:rFonts w:hint="eastAsia" w:ascii="仿宋_GB2312" w:eastAsia="仿宋_GB2312"/>
          <w:color w:val="auto"/>
          <w:sz w:val="32"/>
          <w:lang w:val="en-US" w:eastAsia="zh-CN"/>
        </w:rPr>
        <w:t>验收、交接、入账</w:t>
      </w:r>
      <w:r>
        <w:rPr>
          <w:rFonts w:hint="eastAsia" w:ascii="仿宋_GB2312" w:hAnsi="Courier" w:eastAsia="仿宋_GB2312" w:cs="Times New Roman"/>
          <w:snapToGrid w:val="0"/>
          <w:color w:val="auto"/>
          <w:spacing w:val="-6"/>
          <w:kern w:val="0"/>
          <w:sz w:val="32"/>
          <w:szCs w:val="20"/>
          <w:lang w:val="en-US" w:eastAsia="zh-CN" w:bidi="ar-SA"/>
        </w:rPr>
        <w:t>手续。</w:t>
      </w:r>
    </w:p>
    <w:p>
      <w:pPr>
        <w:keepNext w:val="0"/>
        <w:keepLines w:val="0"/>
        <w:pageBreakBefore w:val="0"/>
        <w:kinsoku/>
        <w:wordWrap/>
        <w:overflowPunct/>
        <w:topLinePunct w:val="0"/>
        <w:autoSpaceDE/>
        <w:autoSpaceDN/>
        <w:bidi w:val="0"/>
        <w:spacing w:line="560" w:lineRule="exact"/>
        <w:ind w:left="50" w:firstLine="557"/>
        <w:textAlignment w:val="auto"/>
        <w:rPr>
          <w:rFonts w:hint="eastAsia" w:ascii="黑体" w:eastAsia="黑体"/>
          <w:color w:val="auto"/>
          <w:sz w:val="32"/>
          <w:szCs w:val="32"/>
          <w:lang w:val="en-US" w:eastAsia="zh-CN"/>
        </w:rPr>
      </w:pPr>
      <w:r>
        <w:rPr>
          <w:rFonts w:hint="eastAsia" w:ascii="仿宋_GB2312" w:hAnsi="Courier" w:eastAsia="仿宋_GB2312" w:cs="Times New Roman"/>
          <w:snapToGrid w:val="0"/>
          <w:color w:val="auto"/>
          <w:spacing w:val="-6"/>
          <w:kern w:val="0"/>
          <w:sz w:val="32"/>
          <w:szCs w:val="20"/>
          <w:lang w:val="en-US" w:eastAsia="zh-CN" w:bidi="ar-SA"/>
        </w:rPr>
        <w:t>（六）房屋、道路（含地下管网）、构筑物、改造的验收，由基建部门根据设计、图纸要求，进行施工过程全程监督，施工期间定期会同总务处进行检查，对于提出的意见要求，由基建部门督促施工单位整改；竣工完成后基建部门应提前提出验收申请，资产管理部门组织使用部门、基建部门、施工单位及涉及的相关部门负责人组成验收小组及时进行严格的验收，由固定资产管理部门、基建部门及使用部门填写验收报告，办理资产</w:t>
      </w:r>
      <w:r>
        <w:rPr>
          <w:rFonts w:hint="eastAsia" w:ascii="仿宋_GB2312" w:eastAsia="仿宋_GB2312"/>
          <w:color w:val="auto"/>
          <w:sz w:val="32"/>
          <w:lang w:val="en-US" w:eastAsia="zh-CN"/>
        </w:rPr>
        <w:t>验收、交接、入账手续</w:t>
      </w:r>
      <w:r>
        <w:rPr>
          <w:rFonts w:hint="eastAsia" w:ascii="仿宋_GB2312" w:hAnsi="Courier" w:eastAsia="仿宋_GB2312" w:cs="Times New Roman"/>
          <w:snapToGrid w:val="0"/>
          <w:color w:val="auto"/>
          <w:spacing w:val="-6"/>
          <w:kern w:val="0"/>
          <w:sz w:val="32"/>
          <w:szCs w:val="20"/>
          <w:lang w:val="en-US" w:eastAsia="zh-CN" w:bidi="ar-SA"/>
        </w:rPr>
        <w:t>。房屋、道路（含地下管网）、构筑物、改造竣工图纸等相关的技术资料原件由基建部门和固定资产管理部门各一份存档。</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仿宋_GB2312" w:hAnsi="Courier" w:eastAsia="仿宋_GB2312" w:cs="Times New Roman"/>
          <w:b/>
          <w:bCs/>
          <w:snapToGrid w:val="0"/>
          <w:color w:val="auto"/>
          <w:spacing w:val="-6"/>
          <w:kern w:val="0"/>
          <w:sz w:val="32"/>
          <w:szCs w:val="20"/>
          <w:lang w:val="en-US" w:eastAsia="zh-CN" w:bidi="ar-SA"/>
        </w:rPr>
      </w:pPr>
      <w:r>
        <w:rPr>
          <w:rFonts w:hint="eastAsia" w:ascii="黑体" w:eastAsia="黑体"/>
          <w:color w:val="auto"/>
          <w:sz w:val="32"/>
          <w:szCs w:val="32"/>
          <w:lang w:val="en-US" w:eastAsia="zh-CN"/>
        </w:rPr>
        <w:t>第五章 固定资产的使用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ourier" w:eastAsia="仿宋_GB2312" w:cs="Times New Roman"/>
          <w:b/>
          <w:bCs/>
          <w:snapToGrid w:val="0"/>
          <w:color w:val="auto"/>
          <w:spacing w:val="-6"/>
          <w:kern w:val="0"/>
          <w:sz w:val="32"/>
          <w:szCs w:val="20"/>
          <w:lang w:val="en-US" w:eastAsia="zh-CN" w:bidi="ar-SA"/>
        </w:rPr>
      </w:pPr>
      <w:r>
        <w:rPr>
          <w:rFonts w:hint="eastAsia" w:ascii="楷体_GB2312" w:hAnsi="楷体_GB2312" w:eastAsia="楷体_GB2312" w:cs="楷体_GB2312"/>
          <w:b w:val="0"/>
          <w:bCs w:val="0"/>
          <w:snapToGrid/>
          <w:color w:val="auto"/>
          <w:spacing w:val="0"/>
          <w:kern w:val="2"/>
          <w:sz w:val="32"/>
          <w:szCs w:val="24"/>
          <w:lang w:val="en-US" w:eastAsia="zh-CN" w:bidi="ar-SA"/>
        </w:rPr>
        <w:t>第二十一条</w:t>
      </w:r>
      <w:r>
        <w:rPr>
          <w:rFonts w:hint="eastAsia" w:ascii="仿宋_GB2312" w:hAnsi="Courier" w:eastAsia="仿宋_GB2312" w:cs="Times New Roman"/>
          <w:b/>
          <w:bCs/>
          <w:snapToGrid w:val="0"/>
          <w:color w:val="auto"/>
          <w:spacing w:val="-6"/>
          <w:kern w:val="0"/>
          <w:sz w:val="32"/>
          <w:szCs w:val="20"/>
          <w:lang w:val="en-US" w:eastAsia="zh-CN" w:bidi="ar-SA"/>
        </w:rPr>
        <w:t xml:space="preserve"> </w:t>
      </w:r>
      <w:r>
        <w:rPr>
          <w:rFonts w:hint="eastAsia" w:ascii="仿宋_GB2312" w:hAnsi="仿宋_GB2312" w:eastAsia="仿宋_GB2312" w:cs="仿宋_GB2312"/>
          <w:bCs/>
          <w:color w:val="auto"/>
          <w:sz w:val="32"/>
          <w:szCs w:val="32"/>
          <w:lang w:val="en-US" w:eastAsia="zh-CN"/>
        </w:rPr>
        <w:t>使用</w:t>
      </w:r>
      <w:r>
        <w:rPr>
          <w:rFonts w:hint="default" w:ascii="仿宋_GB2312" w:hAnsi="仿宋_GB2312" w:eastAsia="仿宋_GB2312" w:cs="仿宋_GB2312"/>
          <w:bCs/>
          <w:color w:val="auto"/>
          <w:sz w:val="32"/>
          <w:szCs w:val="32"/>
          <w:lang w:val="en-US" w:eastAsia="zh-CN"/>
        </w:rPr>
        <w:t>部门应当严格遵守使用规范</w:t>
      </w:r>
      <w:r>
        <w:rPr>
          <w:rFonts w:hint="eastAsia" w:ascii="仿宋_GB2312" w:hAnsi="仿宋_GB2312" w:eastAsia="仿宋_GB2312" w:cs="仿宋_GB2312"/>
          <w:bCs/>
          <w:color w:val="auto"/>
          <w:sz w:val="32"/>
          <w:szCs w:val="32"/>
          <w:lang w:val="en-US" w:eastAsia="zh-CN"/>
        </w:rPr>
        <w:t>，</w:t>
      </w:r>
      <w:r>
        <w:rPr>
          <w:rFonts w:hint="default" w:ascii="仿宋_GB2312" w:hAnsi="仿宋_GB2312" w:eastAsia="仿宋_GB2312" w:cs="仿宋_GB2312"/>
          <w:bCs/>
          <w:color w:val="auto"/>
          <w:sz w:val="32"/>
          <w:szCs w:val="32"/>
          <w:lang w:val="en-US" w:eastAsia="zh-CN"/>
        </w:rPr>
        <w:t>管理责任</w:t>
      </w:r>
      <w:r>
        <w:rPr>
          <w:rFonts w:hint="eastAsia" w:ascii="仿宋_GB2312" w:hAnsi="仿宋_GB2312" w:eastAsia="仿宋_GB2312" w:cs="仿宋_GB2312"/>
          <w:bCs/>
          <w:color w:val="auto"/>
          <w:sz w:val="32"/>
          <w:szCs w:val="32"/>
          <w:lang w:val="en-US" w:eastAsia="zh-CN"/>
        </w:rPr>
        <w:t>落实到人，</w:t>
      </w:r>
      <w:r>
        <w:rPr>
          <w:rFonts w:hint="default" w:ascii="仿宋_GB2312" w:hAnsi="仿宋_GB2312" w:eastAsia="仿宋_GB2312" w:cs="仿宋_GB2312"/>
          <w:bCs/>
          <w:color w:val="auto"/>
          <w:sz w:val="32"/>
          <w:szCs w:val="32"/>
          <w:lang w:val="en-US" w:eastAsia="zh-CN"/>
        </w:rPr>
        <w:t>做到每项固定资产使用、维护与保管都有专人负责。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（一）各部门根据本部门实际需要确定一名</w:t>
      </w:r>
      <w:r>
        <w:rPr>
          <w:rFonts w:hint="eastAsia" w:ascii="仿宋_GB2312" w:hAnsi="仿宋_GB2312" w:eastAsia="仿宋_GB2312" w:cs="仿宋_GB2312"/>
          <w:color w:val="auto"/>
          <w:sz w:val="32"/>
          <w:szCs w:val="32"/>
          <w:lang w:val="en-US" w:eastAsia="zh-CN"/>
        </w:rPr>
        <w:t>专职或</w:t>
      </w:r>
      <w:r>
        <w:rPr>
          <w:rFonts w:hint="eastAsia" w:ascii="仿宋_GB2312" w:hAnsi="仿宋_GB2312" w:eastAsia="仿宋_GB2312" w:cs="仿宋_GB2312"/>
          <w:color w:val="auto"/>
          <w:sz w:val="32"/>
          <w:szCs w:val="32"/>
        </w:rPr>
        <w:t>兼职固定资产管理人员，并报</w:t>
      </w:r>
      <w:r>
        <w:rPr>
          <w:rFonts w:hint="eastAsia" w:ascii="仿宋_GB2312" w:hAnsi="仿宋_GB2312" w:eastAsia="仿宋_GB2312" w:cs="仿宋_GB2312"/>
          <w:color w:val="auto"/>
          <w:sz w:val="32"/>
          <w:szCs w:val="32"/>
          <w:lang w:val="en-US" w:eastAsia="zh-CN"/>
        </w:rPr>
        <w:t>总务处</w:t>
      </w:r>
      <w:r>
        <w:rPr>
          <w:rFonts w:hint="eastAsia" w:ascii="仿宋_GB2312" w:hAnsi="仿宋_GB2312" w:eastAsia="仿宋_GB2312" w:cs="仿宋_GB2312"/>
          <w:color w:val="auto"/>
          <w:sz w:val="32"/>
          <w:szCs w:val="32"/>
        </w:rPr>
        <w:t>备案；部门负责人为本部门所使用固定资产的第一责任人，部门固定资产管理员为直接责任人，对所管理的固定资产负有直接责任</w:t>
      </w:r>
      <w:r>
        <w:rPr>
          <w:rFonts w:hint="eastAsia" w:ascii="仿宋_GB2312" w:hAnsi="仿宋_GB2312" w:eastAsia="仿宋_GB2312" w:cs="仿宋_GB2312"/>
          <w:color w:val="auto"/>
          <w:sz w:val="32"/>
          <w:szCs w:val="32"/>
          <w:lang w:eastAsia="zh-CN"/>
        </w:rPr>
        <w:t>；</w:t>
      </w:r>
      <w:r>
        <w:rPr>
          <w:rFonts w:hint="eastAsia" w:ascii="仿宋_GB2312" w:eastAsia="仿宋_GB2312"/>
          <w:color w:val="auto"/>
          <w:sz w:val="32"/>
          <w:lang w:val="en-US" w:eastAsia="zh-CN"/>
        </w:rPr>
        <w:t>发生固定资产损坏、丢失，使用部门资产管理员及部门负责人应承担相应的赔偿责任。</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color w:val="auto"/>
          <w:sz w:val="32"/>
          <w:szCs w:val="32"/>
        </w:rPr>
        <w:t>（二）</w:t>
      </w:r>
      <w:r>
        <w:rPr>
          <w:rFonts w:hint="default" w:ascii="仿宋_GB2312" w:hAnsi="仿宋_GB2312" w:eastAsia="仿宋_GB2312" w:cs="仿宋_GB2312"/>
          <w:bCs/>
          <w:color w:val="auto"/>
          <w:sz w:val="32"/>
          <w:szCs w:val="32"/>
          <w:lang w:val="en-US" w:eastAsia="zh-CN"/>
        </w:rPr>
        <w:t>固定资产使用部门应当为各项固定资产建立工作台账，详细记录各项固定资产的使用、检查、维护与保管情况。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（三）固定资产的使用，是资产管理工作的重要组成部</w:t>
      </w:r>
      <w:r>
        <w:rPr>
          <w:rFonts w:hint="eastAsia" w:ascii="仿宋_GB2312" w:hAnsi="仿宋_GB2312" w:eastAsia="仿宋_GB2312" w:cs="仿宋_GB2312"/>
          <w:sz w:val="32"/>
          <w:szCs w:val="32"/>
        </w:rPr>
        <w:t>分，应予以高度重视，提高固定资产的使用率，使其充分发挥作用。贵重、精密仪器设备要实行专管公用、资源共享，在完成校内</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任务的同时，按相关规定开展校外的有偿服务，提高其利用率。</w:t>
      </w:r>
    </w:p>
    <w:p>
      <w:pPr>
        <w:pStyle w:val="4"/>
        <w:keepNext w:val="0"/>
        <w:keepLines w:val="0"/>
        <w:pageBreakBefore w:val="0"/>
        <w:widowControl w:val="0"/>
        <w:tabs>
          <w:tab w:val="left" w:pos="624"/>
        </w:tabs>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color w:val="auto"/>
          <w:sz w:val="32"/>
          <w:lang w:val="en-US" w:eastAsia="zh-CN"/>
        </w:rPr>
      </w:pPr>
      <w:r>
        <w:rPr>
          <w:rFonts w:hint="eastAsia" w:ascii="楷体_GB2312" w:hAnsi="楷体_GB2312" w:eastAsia="楷体_GB2312" w:cs="楷体_GB2312"/>
          <w:b w:val="0"/>
          <w:bCs w:val="0"/>
          <w:snapToGrid/>
          <w:color w:val="auto"/>
          <w:spacing w:val="0"/>
          <w:kern w:val="2"/>
          <w:sz w:val="32"/>
          <w:szCs w:val="24"/>
          <w:lang w:val="en-US" w:eastAsia="zh-CN" w:bidi="ar-SA"/>
        </w:rPr>
        <w:t xml:space="preserve">第二十二条 </w:t>
      </w:r>
      <w:r>
        <w:rPr>
          <w:rFonts w:hint="eastAsia" w:ascii="仿宋_GB2312" w:eastAsia="仿宋_GB2312"/>
          <w:color w:val="auto"/>
          <w:sz w:val="32"/>
          <w:lang w:val="en-US" w:eastAsia="zh-CN"/>
        </w:rPr>
        <w:t>固定资产调拨包括固定资产在部门内部的调拨、不同部门之间调拨引起的固定资产分割，教职工人事变动等固定资产交接、处理事项。</w:t>
      </w:r>
    </w:p>
    <w:p>
      <w:pPr>
        <w:pStyle w:val="4"/>
        <w:keepNext w:val="0"/>
        <w:keepLines w:val="0"/>
        <w:pageBreakBefore w:val="0"/>
        <w:widowControl w:val="0"/>
        <w:tabs>
          <w:tab w:val="left" w:pos="624"/>
        </w:tabs>
        <w:kinsoku/>
        <w:wordWrap/>
        <w:overflowPunct/>
        <w:topLinePunct w:val="0"/>
        <w:autoSpaceDE/>
        <w:autoSpaceDN/>
        <w:bidi w:val="0"/>
        <w:adjustRightInd/>
        <w:snapToGrid w:val="0"/>
        <w:spacing w:line="560" w:lineRule="exact"/>
        <w:ind w:firstLine="616" w:firstLineChars="200"/>
        <w:jc w:val="both"/>
        <w:textAlignment w:val="auto"/>
        <w:rPr>
          <w:rFonts w:hint="eastAsia" w:ascii="仿宋_GB2312" w:eastAsia="仿宋_GB2312"/>
          <w:color w:val="auto"/>
          <w:sz w:val="32"/>
          <w:lang w:val="en-US" w:eastAsia="zh-CN"/>
        </w:rPr>
      </w:pPr>
      <w:r>
        <w:rPr>
          <w:rFonts w:hint="eastAsia" w:ascii="仿宋_GB2312" w:eastAsia="仿宋_GB2312"/>
          <w:color w:val="auto"/>
          <w:sz w:val="32"/>
          <w:lang w:val="en-US" w:eastAsia="zh-CN"/>
        </w:rPr>
        <w:t>（一）部门内部固定资产调拨</w:t>
      </w:r>
    </w:p>
    <w:p>
      <w:pPr>
        <w:pStyle w:val="4"/>
        <w:keepNext w:val="0"/>
        <w:keepLines w:val="0"/>
        <w:pageBreakBefore w:val="0"/>
        <w:widowControl w:val="0"/>
        <w:tabs>
          <w:tab w:val="left" w:pos="624"/>
        </w:tabs>
        <w:kinsoku/>
        <w:wordWrap/>
        <w:overflowPunct/>
        <w:topLinePunct w:val="0"/>
        <w:autoSpaceDE/>
        <w:autoSpaceDN/>
        <w:bidi w:val="0"/>
        <w:adjustRightInd/>
        <w:snapToGrid w:val="0"/>
        <w:spacing w:line="560" w:lineRule="exact"/>
        <w:ind w:firstLine="616" w:firstLineChars="200"/>
        <w:jc w:val="both"/>
        <w:textAlignment w:val="auto"/>
        <w:rPr>
          <w:rFonts w:hint="eastAsia" w:ascii="仿宋_GB2312" w:eastAsia="仿宋_GB2312"/>
          <w:color w:val="auto"/>
          <w:sz w:val="32"/>
          <w:lang w:val="en-US" w:eastAsia="zh-CN"/>
        </w:rPr>
      </w:pPr>
      <w:r>
        <w:rPr>
          <w:rFonts w:hint="eastAsia" w:ascii="仿宋_GB2312" w:eastAsia="仿宋_GB2312"/>
          <w:color w:val="auto"/>
          <w:sz w:val="32"/>
          <w:lang w:val="en-US" w:eastAsia="zh-CN"/>
        </w:rPr>
        <w:t>部门内部的资产使用人、资产管理员、存放地点等要素一旦发生变化，资产管理员应及时做好部门固定资产变更手续。</w:t>
      </w:r>
    </w:p>
    <w:p>
      <w:pPr>
        <w:pStyle w:val="4"/>
        <w:keepNext w:val="0"/>
        <w:keepLines w:val="0"/>
        <w:pageBreakBefore w:val="0"/>
        <w:widowControl w:val="0"/>
        <w:tabs>
          <w:tab w:val="left" w:pos="624"/>
        </w:tabs>
        <w:kinsoku/>
        <w:wordWrap/>
        <w:overflowPunct/>
        <w:topLinePunct w:val="0"/>
        <w:autoSpaceDE/>
        <w:autoSpaceDN/>
        <w:bidi w:val="0"/>
        <w:adjustRightInd/>
        <w:snapToGrid w:val="0"/>
        <w:spacing w:line="560" w:lineRule="exact"/>
        <w:ind w:firstLine="616" w:firstLineChars="200"/>
        <w:jc w:val="both"/>
        <w:textAlignment w:val="auto"/>
        <w:rPr>
          <w:rFonts w:hint="eastAsia" w:ascii="仿宋_GB2312" w:eastAsia="仿宋_GB2312"/>
          <w:color w:val="auto"/>
          <w:sz w:val="32"/>
          <w:lang w:val="en-US" w:eastAsia="zh-CN"/>
        </w:rPr>
      </w:pPr>
      <w:r>
        <w:rPr>
          <w:rFonts w:hint="eastAsia" w:ascii="仿宋_GB2312" w:eastAsia="仿宋_GB2312"/>
          <w:color w:val="auto"/>
          <w:sz w:val="32"/>
          <w:lang w:val="en-US" w:eastAsia="zh-CN"/>
        </w:rPr>
        <w:t>（二）部门与部门之间固定资产调拨</w:t>
      </w:r>
    </w:p>
    <w:p>
      <w:pPr>
        <w:pStyle w:val="4"/>
        <w:keepNext w:val="0"/>
        <w:keepLines w:val="0"/>
        <w:pageBreakBefore w:val="0"/>
        <w:widowControl w:val="0"/>
        <w:tabs>
          <w:tab w:val="left" w:pos="624"/>
        </w:tabs>
        <w:kinsoku/>
        <w:wordWrap/>
        <w:overflowPunct/>
        <w:topLinePunct w:val="0"/>
        <w:autoSpaceDE/>
        <w:autoSpaceDN/>
        <w:bidi w:val="0"/>
        <w:adjustRightInd/>
        <w:snapToGrid w:val="0"/>
        <w:spacing w:line="560" w:lineRule="exact"/>
        <w:ind w:firstLine="616" w:firstLineChars="200"/>
        <w:jc w:val="both"/>
        <w:textAlignment w:val="auto"/>
        <w:rPr>
          <w:rFonts w:hint="eastAsia" w:ascii="仿宋_GB2312" w:eastAsia="仿宋_GB2312"/>
          <w:color w:val="auto"/>
          <w:sz w:val="32"/>
          <w:lang w:val="en-US" w:eastAsia="zh-CN"/>
        </w:rPr>
      </w:pPr>
      <w:r>
        <w:rPr>
          <w:rFonts w:hint="eastAsia" w:ascii="仿宋_GB2312" w:eastAsia="仿宋_GB2312"/>
          <w:color w:val="auto"/>
          <w:sz w:val="32"/>
          <w:lang w:val="en-US" w:eastAsia="zh-CN"/>
        </w:rPr>
        <w:t>部门与部门之间发生的固定资产调拨，需固定资产调出部门和固定资产调入部门同时向总务处提出申请，填写资产变动单，经总务处审核同意后，准予调拨，并做相应台账处理。资产管理员应及时做好部门固定资产变更登记手续。</w:t>
      </w:r>
    </w:p>
    <w:p>
      <w:pPr>
        <w:pStyle w:val="4"/>
        <w:keepNext w:val="0"/>
        <w:keepLines w:val="0"/>
        <w:pageBreakBefore w:val="0"/>
        <w:widowControl w:val="0"/>
        <w:tabs>
          <w:tab w:val="left" w:pos="624"/>
        </w:tabs>
        <w:kinsoku/>
        <w:wordWrap/>
        <w:overflowPunct/>
        <w:topLinePunct w:val="0"/>
        <w:autoSpaceDE/>
        <w:autoSpaceDN/>
        <w:bidi w:val="0"/>
        <w:adjustRightInd/>
        <w:snapToGrid w:val="0"/>
        <w:spacing w:line="560" w:lineRule="exact"/>
        <w:ind w:firstLine="616" w:firstLineChars="200"/>
        <w:jc w:val="both"/>
        <w:textAlignment w:val="auto"/>
        <w:rPr>
          <w:rFonts w:hint="eastAsia" w:ascii="仿宋_GB2312" w:eastAsia="仿宋_GB2312"/>
          <w:color w:val="auto"/>
          <w:sz w:val="32"/>
          <w:lang w:val="en-US" w:eastAsia="zh-CN"/>
        </w:rPr>
      </w:pPr>
      <w:r>
        <w:rPr>
          <w:rFonts w:hint="eastAsia" w:ascii="仿宋_GB2312" w:eastAsia="仿宋_GB2312"/>
          <w:color w:val="auto"/>
          <w:sz w:val="32"/>
          <w:lang w:val="en-US" w:eastAsia="zh-CN"/>
        </w:rPr>
        <w:t>（三）人员人事变动时的固定资产管理</w:t>
      </w:r>
    </w:p>
    <w:p>
      <w:pPr>
        <w:keepNext w:val="0"/>
        <w:keepLines w:val="0"/>
        <w:pageBreakBefore w:val="0"/>
        <w:kinsoku/>
        <w:wordWrap/>
        <w:overflowPunct/>
        <w:topLinePunct w:val="0"/>
        <w:autoSpaceDE/>
        <w:autoSpaceDN/>
        <w:bidi w:val="0"/>
        <w:spacing w:line="560" w:lineRule="exact"/>
        <w:ind w:left="48" w:firstLine="571"/>
        <w:jc w:val="both"/>
        <w:textAlignment w:val="auto"/>
        <w:rPr>
          <w:rFonts w:hint="eastAsia" w:ascii="仿宋_GB2312" w:hAnsi="Courier" w:eastAsia="仿宋_GB2312" w:cs="Times New Roman"/>
          <w:snapToGrid w:val="0"/>
          <w:color w:val="auto"/>
          <w:spacing w:val="-6"/>
          <w:kern w:val="0"/>
          <w:sz w:val="32"/>
          <w:szCs w:val="20"/>
          <w:lang w:val="en-US" w:eastAsia="zh-CN" w:bidi="ar-SA"/>
        </w:rPr>
      </w:pPr>
      <w:r>
        <w:rPr>
          <w:rFonts w:hint="eastAsia" w:ascii="仿宋_GB2312" w:hAnsi="Courier" w:eastAsia="仿宋_GB2312" w:cs="Times New Roman"/>
          <w:snapToGrid w:val="0"/>
          <w:color w:val="auto"/>
          <w:spacing w:val="-6"/>
          <w:kern w:val="0"/>
          <w:sz w:val="32"/>
          <w:szCs w:val="20"/>
          <w:lang w:val="en-US" w:eastAsia="zh-CN" w:bidi="ar-SA"/>
        </w:rPr>
        <w:t>学校员工离职、调岗，所在部门资产管理员将离职或调岗员工所使用资产收回并清点登记，并在员工辞职交接流程表签字确认，资产管理部门进行核实后人事部门才能办理相关手续。调岗人员在新岗位所在部门重新登记领取资产，如需带所使用资产调岗的需在学校资产管理部门办理相关资产调拨手续才能进行资产转移。</w:t>
      </w:r>
    </w:p>
    <w:p>
      <w:pPr>
        <w:pStyle w:val="4"/>
        <w:keepNext w:val="0"/>
        <w:keepLines w:val="0"/>
        <w:pageBreakBefore w:val="0"/>
        <w:widowControl w:val="0"/>
        <w:numPr>
          <w:ilvl w:val="0"/>
          <w:numId w:val="1"/>
        </w:numPr>
        <w:tabs>
          <w:tab w:val="left" w:pos="624"/>
        </w:tabs>
        <w:kinsoku/>
        <w:wordWrap/>
        <w:overflowPunct/>
        <w:topLinePunct w:val="0"/>
        <w:autoSpaceDE/>
        <w:autoSpaceDN/>
        <w:bidi w:val="0"/>
        <w:adjustRightInd/>
        <w:snapToGrid w:val="0"/>
        <w:spacing w:line="560" w:lineRule="exact"/>
        <w:ind w:firstLine="616" w:firstLineChars="200"/>
        <w:jc w:val="both"/>
        <w:textAlignment w:val="auto"/>
        <w:rPr>
          <w:rFonts w:hint="eastAsia" w:ascii="仿宋_GB2312" w:eastAsia="仿宋_GB2312"/>
          <w:color w:val="auto"/>
          <w:sz w:val="32"/>
          <w:lang w:val="en-US" w:eastAsia="zh-CN"/>
        </w:rPr>
      </w:pPr>
      <w:r>
        <w:rPr>
          <w:rFonts w:hint="eastAsia" w:ascii="仿宋_GB2312" w:eastAsia="仿宋_GB2312"/>
          <w:color w:val="auto"/>
          <w:sz w:val="32"/>
          <w:lang w:val="en-US" w:eastAsia="zh-CN"/>
        </w:rPr>
        <w:t>学校教职工在发生人事变动时，应办理固定资产交接、交还手续，并经所在部门资产管理员、部门负责人及资产管理部门签字确认。无法上缴个人使用固定资产的，需支付固定资产原值的折旧款，在缴清折价款后才能准予办理相关手续。</w:t>
      </w:r>
    </w:p>
    <w:p>
      <w:pPr>
        <w:pStyle w:val="4"/>
        <w:keepNext w:val="0"/>
        <w:keepLines w:val="0"/>
        <w:pageBreakBefore w:val="0"/>
        <w:widowControl w:val="0"/>
        <w:numPr>
          <w:ilvl w:val="0"/>
          <w:numId w:val="1"/>
        </w:numPr>
        <w:tabs>
          <w:tab w:val="left" w:pos="624"/>
        </w:tabs>
        <w:kinsoku/>
        <w:wordWrap/>
        <w:overflowPunct/>
        <w:topLinePunct w:val="0"/>
        <w:autoSpaceDE/>
        <w:autoSpaceDN/>
        <w:bidi w:val="0"/>
        <w:adjustRightInd/>
        <w:snapToGrid w:val="0"/>
        <w:spacing w:line="560" w:lineRule="exact"/>
        <w:ind w:firstLine="616" w:firstLineChars="200"/>
        <w:jc w:val="both"/>
        <w:textAlignment w:val="auto"/>
        <w:rPr>
          <w:rFonts w:hint="eastAsia" w:ascii="仿宋_GB2312" w:eastAsia="仿宋_GB2312"/>
          <w:color w:val="auto"/>
          <w:sz w:val="32"/>
          <w:lang w:val="en-US" w:eastAsia="zh-CN"/>
        </w:rPr>
      </w:pPr>
      <w:r>
        <w:rPr>
          <w:rFonts w:hint="eastAsia" w:ascii="仿宋_GB2312" w:hAnsi="仿宋_GB2312" w:eastAsia="仿宋_GB2312" w:cs="仿宋_GB2312"/>
          <w:sz w:val="32"/>
          <w:szCs w:val="32"/>
        </w:rPr>
        <w:t>严禁未办理调拨手续提前完成实物调拨的行为，发现应给予通报批评处理。</w:t>
      </w:r>
    </w:p>
    <w:p>
      <w:pPr>
        <w:pStyle w:val="4"/>
        <w:keepNext w:val="0"/>
        <w:keepLines w:val="0"/>
        <w:pageBreakBefore w:val="0"/>
        <w:widowControl w:val="0"/>
        <w:tabs>
          <w:tab w:val="left" w:pos="624"/>
        </w:tabs>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color w:val="auto"/>
          <w:sz w:val="32"/>
          <w:lang w:val="en-US" w:eastAsia="zh-CN"/>
        </w:rPr>
      </w:pPr>
      <w:r>
        <w:rPr>
          <w:rFonts w:hint="eastAsia" w:ascii="楷体_GB2312" w:hAnsi="楷体_GB2312" w:eastAsia="楷体_GB2312" w:cs="楷体_GB2312"/>
          <w:b w:val="0"/>
          <w:bCs w:val="0"/>
          <w:snapToGrid/>
          <w:color w:val="auto"/>
          <w:spacing w:val="0"/>
          <w:kern w:val="2"/>
          <w:sz w:val="32"/>
          <w:szCs w:val="24"/>
          <w:lang w:val="en-US" w:eastAsia="zh-CN" w:bidi="ar-SA"/>
        </w:rPr>
        <w:t>第二十三条</w:t>
      </w:r>
      <w:r>
        <w:rPr>
          <w:rFonts w:hint="eastAsia" w:ascii="仿宋_GB2312" w:eastAsia="仿宋_GB2312"/>
          <w:b/>
          <w:bCs/>
          <w:color w:val="auto"/>
          <w:sz w:val="32"/>
          <w:lang w:val="en-US" w:eastAsia="zh-CN"/>
        </w:rPr>
        <w:t xml:space="preserve"> </w:t>
      </w:r>
      <w:r>
        <w:rPr>
          <w:rFonts w:hint="eastAsia" w:ascii="仿宋_GB2312" w:hAnsi="仿宋_GB2312" w:eastAsia="仿宋_GB2312" w:cs="仿宋_GB2312"/>
          <w:sz w:val="32"/>
          <w:szCs w:val="32"/>
        </w:rPr>
        <w:t>闲置或不再继续使用的固定资产管理。对使用部门长期闲置或不再继续使用的固定资产，该部门固定资产管理员应及时报</w:t>
      </w:r>
      <w:r>
        <w:rPr>
          <w:rFonts w:hint="eastAsia" w:ascii="仿宋_GB2312" w:hAnsi="仿宋_GB2312" w:eastAsia="仿宋_GB2312" w:cs="仿宋_GB2312"/>
          <w:sz w:val="32"/>
          <w:szCs w:val="32"/>
          <w:lang w:val="en-US" w:eastAsia="zh-CN"/>
        </w:rPr>
        <w:t>总务处</w:t>
      </w:r>
      <w:r>
        <w:rPr>
          <w:rFonts w:hint="eastAsia" w:ascii="仿宋_GB2312" w:hAnsi="仿宋_GB2312" w:eastAsia="仿宋_GB2312" w:cs="仿宋_GB2312"/>
          <w:sz w:val="32"/>
          <w:szCs w:val="32"/>
        </w:rPr>
        <w:t>，以便在校内进行按需平衡调剂。对暂时调剂不了的固定资产，</w:t>
      </w:r>
      <w:r>
        <w:rPr>
          <w:rFonts w:hint="eastAsia" w:ascii="仿宋_GB2312" w:hAnsi="仿宋_GB2312" w:eastAsia="仿宋_GB2312" w:cs="仿宋_GB2312"/>
          <w:sz w:val="32"/>
          <w:szCs w:val="32"/>
          <w:lang w:eastAsia="zh-CN"/>
        </w:rPr>
        <w:t>使用部门</w:t>
      </w:r>
      <w:r>
        <w:rPr>
          <w:rFonts w:hint="eastAsia" w:ascii="仿宋_GB2312" w:hAnsi="仿宋_GB2312" w:eastAsia="仿宋_GB2312" w:cs="仿宋_GB2312"/>
          <w:sz w:val="32"/>
          <w:szCs w:val="32"/>
        </w:rPr>
        <w:t>要注意保管，保证其完好率。各部门有闲置、多余积压固定资产而不及时报告者，应给予通报批评处理。</w:t>
      </w:r>
    </w:p>
    <w:p>
      <w:pPr>
        <w:pStyle w:val="4"/>
        <w:keepNext w:val="0"/>
        <w:keepLines w:val="0"/>
        <w:pageBreakBefore w:val="0"/>
        <w:widowControl w:val="0"/>
        <w:tabs>
          <w:tab w:val="left" w:pos="624"/>
        </w:tabs>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Times New Roman" w:eastAsia="仿宋_GB2312" w:cs="Times New Roman"/>
          <w:snapToGrid/>
          <w:color w:val="auto"/>
          <w:spacing w:val="0"/>
          <w:kern w:val="2"/>
          <w:sz w:val="32"/>
          <w:szCs w:val="24"/>
          <w:lang w:val="en-US" w:eastAsia="zh-CN" w:bidi="ar-SA"/>
        </w:rPr>
      </w:pPr>
      <w:r>
        <w:rPr>
          <w:rFonts w:hint="eastAsia" w:ascii="楷体_GB2312" w:hAnsi="楷体_GB2312" w:eastAsia="楷体_GB2312" w:cs="楷体_GB2312"/>
          <w:b w:val="0"/>
          <w:bCs w:val="0"/>
          <w:snapToGrid/>
          <w:color w:val="auto"/>
          <w:spacing w:val="0"/>
          <w:kern w:val="2"/>
          <w:sz w:val="32"/>
          <w:szCs w:val="24"/>
          <w:lang w:val="en-US" w:eastAsia="zh-CN" w:bidi="ar-SA"/>
        </w:rPr>
        <w:t>第二十四条</w:t>
      </w:r>
      <w:r>
        <w:rPr>
          <w:rFonts w:hint="eastAsia" w:ascii="仿宋_GB2312" w:eastAsia="仿宋_GB2312"/>
          <w:color w:val="auto"/>
          <w:sz w:val="32"/>
          <w:lang w:val="en-US" w:eastAsia="zh-CN"/>
        </w:rPr>
        <w:t xml:space="preserve"> 对精密、贵重以及容易发生安全事故的仪器设备应制定具体操作规程，指定专人负责技术指导和安全工作，并对使用人员进行技术培训和安全</w:t>
      </w:r>
      <w:r>
        <w:rPr>
          <w:rFonts w:hint="eastAsia" w:ascii="仿宋_GB2312" w:hAnsi="Times New Roman" w:eastAsia="仿宋_GB2312" w:cs="Times New Roman"/>
          <w:snapToGrid/>
          <w:color w:val="auto"/>
          <w:spacing w:val="0"/>
          <w:kern w:val="2"/>
          <w:sz w:val="32"/>
          <w:szCs w:val="24"/>
          <w:lang w:val="en-US" w:eastAsia="zh-CN" w:bidi="ar-SA"/>
        </w:rPr>
        <w:t>教育。切实做好防火、防盗、防破坏、防事故的“四防”工作。</w:t>
      </w:r>
    </w:p>
    <w:p>
      <w:pPr>
        <w:keepNext w:val="0"/>
        <w:keepLines w:val="0"/>
        <w:pageBreakBefore w:val="0"/>
        <w:kinsoku/>
        <w:wordWrap/>
        <w:overflowPunct/>
        <w:topLinePunct w:val="0"/>
        <w:autoSpaceDE/>
        <w:autoSpaceDN/>
        <w:bidi w:val="0"/>
        <w:spacing w:line="560" w:lineRule="exact"/>
        <w:ind w:left="52" w:right="2" w:firstLine="566"/>
        <w:textAlignment w:val="auto"/>
        <w:rPr>
          <w:rFonts w:hint="eastAsia" w:ascii="仿宋_GB2312" w:hAnsi="Courier" w:eastAsia="仿宋_GB2312" w:cs="Times New Roman"/>
          <w:snapToGrid w:val="0"/>
          <w:color w:val="auto"/>
          <w:spacing w:val="-6"/>
          <w:kern w:val="0"/>
          <w:sz w:val="32"/>
          <w:szCs w:val="20"/>
          <w:lang w:val="en-US" w:eastAsia="zh-CN" w:bidi="ar-SA"/>
        </w:rPr>
      </w:pPr>
      <w:r>
        <w:rPr>
          <w:rFonts w:hint="eastAsia" w:ascii="楷体_GB2312" w:hAnsi="楷体_GB2312" w:eastAsia="楷体_GB2312" w:cs="楷体_GB2312"/>
          <w:b w:val="0"/>
          <w:bCs w:val="0"/>
          <w:snapToGrid/>
          <w:color w:val="auto"/>
          <w:spacing w:val="0"/>
          <w:kern w:val="2"/>
          <w:sz w:val="32"/>
          <w:szCs w:val="24"/>
          <w:lang w:val="en-US" w:eastAsia="zh-CN" w:bidi="ar-SA"/>
        </w:rPr>
        <w:t xml:space="preserve">第二十五条 </w:t>
      </w:r>
      <w:r>
        <w:rPr>
          <w:rFonts w:hint="eastAsia" w:ascii="仿宋_GB2312" w:hAnsi="Courier" w:eastAsia="仿宋_GB2312" w:cs="Times New Roman"/>
          <w:snapToGrid w:val="0"/>
          <w:color w:val="auto"/>
          <w:spacing w:val="-6"/>
          <w:kern w:val="0"/>
          <w:sz w:val="32"/>
          <w:szCs w:val="20"/>
          <w:lang w:val="en-US" w:eastAsia="zh-CN" w:bidi="ar-SA"/>
        </w:rPr>
        <w:t>使用部门应根据各项固定资产的使用特点、使用年限、性能状况等情况，制定固定资产的日常维护与定期检查维修计划，并按要求对固定资产进行养护、定期检测或修缮，减少固定资产的非正常损耗，做到高效节约、物尽其用，充分发挥固定资产使用效益。</w:t>
      </w:r>
    </w:p>
    <w:p>
      <w:pPr>
        <w:keepNext w:val="0"/>
        <w:keepLines w:val="0"/>
        <w:pageBreakBefore w:val="0"/>
        <w:kinsoku/>
        <w:wordWrap/>
        <w:overflowPunct/>
        <w:topLinePunct w:val="0"/>
        <w:autoSpaceDE/>
        <w:autoSpaceDN/>
        <w:bidi w:val="0"/>
        <w:spacing w:line="560" w:lineRule="exact"/>
        <w:ind w:left="44" w:right="28" w:firstLine="562"/>
        <w:textAlignment w:val="auto"/>
        <w:rPr>
          <w:rFonts w:hint="eastAsia" w:ascii="仿宋_GB2312" w:hAnsi="Courier" w:eastAsia="仿宋_GB2312" w:cs="Times New Roman"/>
          <w:snapToGrid w:val="0"/>
          <w:color w:val="auto"/>
          <w:spacing w:val="-6"/>
          <w:kern w:val="0"/>
          <w:sz w:val="32"/>
          <w:szCs w:val="20"/>
          <w:lang w:val="en-US" w:eastAsia="zh-CN" w:bidi="ar-SA"/>
        </w:rPr>
      </w:pPr>
      <w:r>
        <w:rPr>
          <w:rFonts w:hint="eastAsia" w:ascii="仿宋_GB2312" w:hAnsi="Courier" w:eastAsia="仿宋_GB2312" w:cs="Times New Roman"/>
          <w:snapToGrid w:val="0"/>
          <w:color w:val="auto"/>
          <w:spacing w:val="-6"/>
          <w:kern w:val="0"/>
          <w:sz w:val="32"/>
          <w:szCs w:val="20"/>
          <w:lang w:val="en-US" w:eastAsia="zh-CN" w:bidi="ar-SA"/>
        </w:rPr>
        <w:t>（一）固定资产设备出现故障、损坏等情况，采取“先校内、后校外”的原则，使用部门能修复的应及时进行修复；使用部门不能修复的提出申请，由校内相关部门技术人员维修；</w:t>
      </w:r>
    </w:p>
    <w:p>
      <w:pPr>
        <w:keepNext w:val="0"/>
        <w:keepLines w:val="0"/>
        <w:pageBreakBefore w:val="0"/>
        <w:kinsoku/>
        <w:wordWrap/>
        <w:overflowPunct/>
        <w:topLinePunct w:val="0"/>
        <w:autoSpaceDE/>
        <w:autoSpaceDN/>
        <w:bidi w:val="0"/>
        <w:spacing w:line="560" w:lineRule="exact"/>
        <w:ind w:left="48"/>
        <w:textAlignment w:val="auto"/>
        <w:rPr>
          <w:rFonts w:hint="eastAsia" w:ascii="仿宋_GB2312" w:hAnsi="Courier" w:eastAsia="仿宋_GB2312" w:cs="Times New Roman"/>
          <w:snapToGrid w:val="0"/>
          <w:color w:val="auto"/>
          <w:spacing w:val="-6"/>
          <w:kern w:val="0"/>
          <w:sz w:val="32"/>
          <w:szCs w:val="20"/>
          <w:lang w:val="en-US" w:eastAsia="zh-CN" w:bidi="ar-SA"/>
        </w:rPr>
      </w:pPr>
      <w:r>
        <w:rPr>
          <w:rFonts w:hint="eastAsia" w:ascii="仿宋_GB2312" w:hAnsi="Courier" w:eastAsia="仿宋_GB2312" w:cs="Times New Roman"/>
          <w:snapToGrid w:val="0"/>
          <w:color w:val="auto"/>
          <w:spacing w:val="-6"/>
          <w:kern w:val="0"/>
          <w:sz w:val="32"/>
          <w:szCs w:val="20"/>
          <w:lang w:val="en-US" w:eastAsia="zh-CN" w:bidi="ar-SA"/>
        </w:rPr>
        <w:t>校内技术人员鉴定不能维修的使用部门报采购部门联系校外维修。</w:t>
      </w:r>
    </w:p>
    <w:p>
      <w:pPr>
        <w:keepNext w:val="0"/>
        <w:keepLines w:val="0"/>
        <w:pageBreakBefore w:val="0"/>
        <w:numPr>
          <w:ilvl w:val="0"/>
          <w:numId w:val="0"/>
        </w:numPr>
        <w:kinsoku/>
        <w:wordWrap/>
        <w:overflowPunct/>
        <w:topLinePunct w:val="0"/>
        <w:autoSpaceDE/>
        <w:autoSpaceDN/>
        <w:bidi w:val="0"/>
        <w:spacing w:line="560" w:lineRule="exact"/>
        <w:ind w:firstLine="616" w:firstLineChars="200"/>
        <w:textAlignment w:val="auto"/>
        <w:rPr>
          <w:rFonts w:hint="eastAsia" w:ascii="仿宋_GB2312" w:hAnsi="Courier" w:eastAsia="仿宋_GB2312" w:cs="Times New Roman"/>
          <w:snapToGrid w:val="0"/>
          <w:color w:val="auto"/>
          <w:spacing w:val="-6"/>
          <w:kern w:val="0"/>
          <w:sz w:val="32"/>
          <w:szCs w:val="20"/>
          <w:lang w:val="en-US" w:eastAsia="zh-CN" w:bidi="ar-SA"/>
        </w:rPr>
      </w:pPr>
      <w:r>
        <w:rPr>
          <w:rFonts w:hint="eastAsia" w:ascii="仿宋_GB2312" w:hAnsi="Courier" w:eastAsia="仿宋_GB2312" w:cs="Times New Roman"/>
          <w:snapToGrid w:val="0"/>
          <w:color w:val="auto"/>
          <w:spacing w:val="-6"/>
          <w:kern w:val="0"/>
          <w:sz w:val="32"/>
          <w:szCs w:val="20"/>
          <w:lang w:val="en-US" w:eastAsia="zh-CN" w:bidi="ar-SA"/>
        </w:rPr>
        <w:t>（二）凡属保修期内的固定资产发生故障时，使用部门可直接或通过采购部门与厂家联系维修工作。</w:t>
      </w:r>
    </w:p>
    <w:p>
      <w:pPr>
        <w:keepNext w:val="0"/>
        <w:keepLines w:val="0"/>
        <w:pageBreakBefore w:val="0"/>
        <w:numPr>
          <w:ilvl w:val="0"/>
          <w:numId w:val="0"/>
        </w:numPr>
        <w:kinsoku/>
        <w:wordWrap/>
        <w:overflowPunct/>
        <w:topLinePunct w:val="0"/>
        <w:autoSpaceDE/>
        <w:autoSpaceDN/>
        <w:bidi w:val="0"/>
        <w:spacing w:line="560" w:lineRule="exact"/>
        <w:ind w:firstLine="616" w:firstLineChars="200"/>
        <w:textAlignment w:val="auto"/>
        <w:rPr>
          <w:rFonts w:hint="eastAsia" w:ascii="仿宋_GB2312" w:hAnsi="Courier" w:eastAsia="仿宋_GB2312" w:cs="Times New Roman"/>
          <w:snapToGrid w:val="0"/>
          <w:color w:val="auto"/>
          <w:spacing w:val="-6"/>
          <w:kern w:val="0"/>
          <w:sz w:val="32"/>
          <w:szCs w:val="20"/>
          <w:lang w:val="en-US" w:eastAsia="zh-CN" w:bidi="ar-SA"/>
        </w:rPr>
      </w:pPr>
      <w:r>
        <w:rPr>
          <w:rFonts w:hint="eastAsia" w:ascii="仿宋_GB2312" w:hAnsi="Courier" w:eastAsia="仿宋_GB2312" w:cs="Times New Roman"/>
          <w:snapToGrid w:val="0"/>
          <w:color w:val="auto"/>
          <w:spacing w:val="-6"/>
          <w:kern w:val="0"/>
          <w:sz w:val="32"/>
          <w:szCs w:val="20"/>
          <w:lang w:val="en-US" w:eastAsia="zh-CN" w:bidi="ar-SA"/>
        </w:rPr>
        <w:t>（三）学校的固定资产，原则上不外借。特殊情况需要对外借用的，在不影响学校工作的前提下，经固定资产管理部门与分管校长、校长批准后方可外借。</w:t>
      </w:r>
    </w:p>
    <w:p>
      <w:pPr>
        <w:keepNext w:val="0"/>
        <w:keepLines w:val="0"/>
        <w:pageBreakBefore w:val="0"/>
        <w:numPr>
          <w:ilvl w:val="0"/>
          <w:numId w:val="0"/>
        </w:numPr>
        <w:kinsoku/>
        <w:wordWrap/>
        <w:overflowPunct/>
        <w:topLinePunct w:val="0"/>
        <w:autoSpaceDE/>
        <w:autoSpaceDN/>
        <w:bidi w:val="0"/>
        <w:spacing w:line="560" w:lineRule="exact"/>
        <w:ind w:firstLine="616" w:firstLineChars="200"/>
        <w:textAlignment w:val="auto"/>
        <w:rPr>
          <w:rFonts w:hint="eastAsia" w:ascii="仿宋_GB2312" w:hAnsi="Courier" w:eastAsia="仿宋_GB2312" w:cs="Times New Roman"/>
          <w:snapToGrid w:val="0"/>
          <w:color w:val="auto"/>
          <w:spacing w:val="-6"/>
          <w:kern w:val="0"/>
          <w:sz w:val="32"/>
          <w:szCs w:val="20"/>
          <w:lang w:val="en-US" w:eastAsia="zh-CN" w:bidi="ar-SA"/>
        </w:rPr>
      </w:pPr>
      <w:r>
        <w:rPr>
          <w:rFonts w:hint="eastAsia" w:ascii="仿宋_GB2312" w:hAnsi="Courier" w:eastAsia="仿宋_GB2312" w:cs="Times New Roman"/>
          <w:snapToGrid w:val="0"/>
          <w:color w:val="auto"/>
          <w:spacing w:val="-6"/>
          <w:kern w:val="0"/>
          <w:sz w:val="32"/>
          <w:szCs w:val="20"/>
          <w:lang w:val="en-US" w:eastAsia="zh-CN" w:bidi="ar-SA"/>
        </w:rPr>
        <w:t>（四）固定资产借用仅限学校部门之间公用，禁止公物私借，如因公物私借出现的一切问题由借出者承担责任。</w:t>
      </w:r>
    </w:p>
    <w:p>
      <w:pPr>
        <w:keepNext w:val="0"/>
        <w:keepLines w:val="0"/>
        <w:pageBreakBefore w:val="0"/>
        <w:numPr>
          <w:ilvl w:val="0"/>
          <w:numId w:val="0"/>
        </w:numPr>
        <w:kinsoku/>
        <w:wordWrap/>
        <w:overflowPunct/>
        <w:topLinePunct w:val="0"/>
        <w:autoSpaceDE/>
        <w:autoSpaceDN/>
        <w:bidi w:val="0"/>
        <w:spacing w:line="560" w:lineRule="exact"/>
        <w:ind w:firstLine="616" w:firstLineChars="200"/>
        <w:textAlignment w:val="auto"/>
        <w:rPr>
          <w:rFonts w:ascii="仿宋" w:hAnsi="仿宋" w:eastAsia="仿宋" w:cs="仿宋"/>
          <w:spacing w:val="-1"/>
          <w:sz w:val="28"/>
          <w:szCs w:val="28"/>
        </w:rPr>
      </w:pPr>
      <w:r>
        <w:rPr>
          <w:rFonts w:hint="eastAsia" w:ascii="仿宋_GB2312" w:hAnsi="Courier" w:eastAsia="仿宋_GB2312" w:cs="Times New Roman"/>
          <w:snapToGrid w:val="0"/>
          <w:color w:val="auto"/>
          <w:spacing w:val="-6"/>
          <w:kern w:val="0"/>
          <w:sz w:val="32"/>
          <w:szCs w:val="20"/>
          <w:lang w:val="en-US" w:eastAsia="zh-CN" w:bidi="ar-SA"/>
        </w:rPr>
        <w:t>（五）借用的固定资产达一年以上的，借出部门要办理资产调拨手续。后续归还时借出部门应对归还物品进行核验</w:t>
      </w:r>
      <w:r>
        <w:rPr>
          <w:rFonts w:ascii="仿宋" w:hAnsi="仿宋" w:eastAsia="仿宋" w:cs="仿宋"/>
          <w:spacing w:val="-1"/>
          <w:sz w:val="28"/>
          <w:szCs w:val="28"/>
        </w:rPr>
        <w:t>。</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Courier" w:eastAsia="仿宋_GB2312" w:cs="Times New Roman"/>
          <w:snapToGrid w:val="0"/>
          <w:color w:val="auto"/>
          <w:spacing w:val="-6"/>
          <w:kern w:val="0"/>
          <w:sz w:val="32"/>
          <w:szCs w:val="20"/>
          <w:lang w:val="en-US" w:eastAsia="zh-CN" w:bidi="ar-SA"/>
        </w:rPr>
      </w:pPr>
      <w:r>
        <w:rPr>
          <w:rFonts w:hint="eastAsia" w:ascii="楷体_GB2312" w:hAnsi="楷体_GB2312" w:eastAsia="楷体_GB2312" w:cs="楷体_GB2312"/>
          <w:b w:val="0"/>
          <w:bCs w:val="0"/>
          <w:snapToGrid/>
          <w:color w:val="auto"/>
          <w:spacing w:val="0"/>
          <w:kern w:val="2"/>
          <w:sz w:val="32"/>
          <w:szCs w:val="24"/>
          <w:lang w:val="en-US" w:eastAsia="zh-CN" w:bidi="ar-SA"/>
        </w:rPr>
        <w:t>第二十六条</w:t>
      </w:r>
      <w:r>
        <w:rPr>
          <w:rFonts w:hint="eastAsia" w:ascii="仿宋_GB2312" w:hAnsi="Courier" w:eastAsia="仿宋_GB2312" w:cs="Times New Roman"/>
          <w:snapToGrid w:val="0"/>
          <w:color w:val="auto"/>
          <w:spacing w:val="-6"/>
          <w:kern w:val="0"/>
          <w:sz w:val="32"/>
          <w:szCs w:val="20"/>
          <w:lang w:val="en-US" w:eastAsia="zh-CN" w:bidi="ar-SA"/>
        </w:rPr>
        <w:t xml:space="preserve"> 为维护固定资产的完整和安全，使用部门要加强固定资产管理，制定科学的保管、维护制度以及必要的技术操作规程，建立资产使用、管理人员责任制，保管和使用期间因责任事故造成损坏或丢失，均须赔偿，并对使用部门资产负责人实行责任追究制。</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Courier" w:eastAsia="仿宋_GB2312" w:cs="Times New Roman"/>
          <w:snapToGrid w:val="0"/>
          <w:color w:val="auto"/>
          <w:spacing w:val="-6"/>
          <w:kern w:val="0"/>
          <w:sz w:val="32"/>
          <w:szCs w:val="20"/>
          <w:lang w:val="en-US" w:eastAsia="zh-CN" w:bidi="ar-SA"/>
        </w:rPr>
      </w:pPr>
      <w:r>
        <w:rPr>
          <w:rFonts w:hint="eastAsia" w:ascii="楷体_GB2312" w:hAnsi="楷体_GB2312" w:eastAsia="楷体_GB2312" w:cs="楷体_GB2312"/>
          <w:b w:val="0"/>
          <w:bCs w:val="0"/>
          <w:snapToGrid/>
          <w:color w:val="auto"/>
          <w:spacing w:val="0"/>
          <w:kern w:val="2"/>
          <w:sz w:val="32"/>
          <w:szCs w:val="24"/>
          <w:lang w:val="en-US" w:eastAsia="zh-CN" w:bidi="ar-SA"/>
        </w:rPr>
        <w:t>第二十七条</w:t>
      </w:r>
      <w:r>
        <w:rPr>
          <w:rFonts w:hint="eastAsia" w:ascii="仿宋_GB2312" w:hAnsi="Courier" w:eastAsia="仿宋_GB2312" w:cs="Times New Roman"/>
          <w:snapToGrid w:val="0"/>
          <w:color w:val="auto"/>
          <w:spacing w:val="-6"/>
          <w:kern w:val="0"/>
          <w:sz w:val="32"/>
          <w:szCs w:val="20"/>
          <w:lang w:val="en-US" w:eastAsia="zh-CN" w:bidi="ar-SA"/>
        </w:rPr>
        <w:t xml:space="preserve"> 固定资产损坏、丢失赔偿的界定，由于下列主观原因之一造成固定资产损失的，应追究当事者责任并进行相应赔偿：</w:t>
      </w:r>
    </w:p>
    <w:p>
      <w:pPr>
        <w:keepNext w:val="0"/>
        <w:keepLines w:val="0"/>
        <w:pageBreakBefore w:val="0"/>
        <w:numPr>
          <w:ilvl w:val="0"/>
          <w:numId w:val="0"/>
        </w:numPr>
        <w:kinsoku/>
        <w:wordWrap/>
        <w:overflowPunct/>
        <w:topLinePunct w:val="0"/>
        <w:autoSpaceDE/>
        <w:autoSpaceDN/>
        <w:bidi w:val="0"/>
        <w:spacing w:line="560" w:lineRule="exact"/>
        <w:ind w:firstLine="616" w:firstLineChars="200"/>
        <w:textAlignment w:val="auto"/>
        <w:rPr>
          <w:rFonts w:hint="eastAsia" w:ascii="仿宋_GB2312" w:hAnsi="Courier" w:eastAsia="仿宋_GB2312" w:cs="Times New Roman"/>
          <w:snapToGrid w:val="0"/>
          <w:color w:val="auto"/>
          <w:spacing w:val="-6"/>
          <w:kern w:val="0"/>
          <w:sz w:val="32"/>
          <w:szCs w:val="20"/>
          <w:lang w:val="en-US" w:eastAsia="zh-CN" w:bidi="ar-SA"/>
        </w:rPr>
      </w:pPr>
      <w:r>
        <w:rPr>
          <w:rFonts w:hint="eastAsia" w:ascii="仿宋_GB2312" w:hAnsi="Courier" w:eastAsia="仿宋_GB2312" w:cs="Times New Roman"/>
          <w:snapToGrid w:val="0"/>
          <w:color w:val="auto"/>
          <w:spacing w:val="-6"/>
          <w:kern w:val="0"/>
          <w:sz w:val="32"/>
          <w:szCs w:val="20"/>
          <w:lang w:val="en-US" w:eastAsia="zh-CN" w:bidi="ar-SA"/>
        </w:rPr>
        <w:t>（一）未经批准擅自动用、拆卸、改装、挪用固定资产造成损失的；</w:t>
      </w:r>
    </w:p>
    <w:p>
      <w:pPr>
        <w:keepNext w:val="0"/>
        <w:keepLines w:val="0"/>
        <w:pageBreakBefore w:val="0"/>
        <w:numPr>
          <w:ilvl w:val="0"/>
          <w:numId w:val="0"/>
        </w:numPr>
        <w:kinsoku/>
        <w:wordWrap/>
        <w:overflowPunct/>
        <w:topLinePunct w:val="0"/>
        <w:autoSpaceDE/>
        <w:autoSpaceDN/>
        <w:bidi w:val="0"/>
        <w:spacing w:line="560" w:lineRule="exact"/>
        <w:ind w:firstLine="616" w:firstLineChars="200"/>
        <w:textAlignment w:val="auto"/>
        <w:rPr>
          <w:rFonts w:hint="eastAsia" w:ascii="仿宋_GB2312" w:hAnsi="Courier" w:eastAsia="仿宋_GB2312" w:cs="Times New Roman"/>
          <w:snapToGrid w:val="0"/>
          <w:color w:val="auto"/>
          <w:spacing w:val="-6"/>
          <w:kern w:val="0"/>
          <w:sz w:val="32"/>
          <w:szCs w:val="20"/>
          <w:lang w:val="en-US" w:eastAsia="zh-CN" w:bidi="ar-SA"/>
        </w:rPr>
      </w:pPr>
      <w:r>
        <w:rPr>
          <w:rFonts w:hint="eastAsia" w:ascii="仿宋_GB2312" w:hAnsi="Courier" w:eastAsia="仿宋_GB2312" w:cs="Times New Roman"/>
          <w:snapToGrid w:val="0"/>
          <w:color w:val="auto"/>
          <w:spacing w:val="-6"/>
          <w:kern w:val="0"/>
          <w:sz w:val="32"/>
          <w:szCs w:val="20"/>
          <w:lang w:val="en-US" w:eastAsia="zh-CN" w:bidi="ar-SA"/>
        </w:rPr>
        <w:t>（二）公物私用、外借造成固定资产损失的；</w:t>
      </w:r>
    </w:p>
    <w:p>
      <w:pPr>
        <w:keepNext w:val="0"/>
        <w:keepLines w:val="0"/>
        <w:pageBreakBefore w:val="0"/>
        <w:numPr>
          <w:ilvl w:val="0"/>
          <w:numId w:val="0"/>
        </w:numPr>
        <w:kinsoku/>
        <w:wordWrap/>
        <w:overflowPunct/>
        <w:topLinePunct w:val="0"/>
        <w:autoSpaceDE/>
        <w:autoSpaceDN/>
        <w:bidi w:val="0"/>
        <w:spacing w:line="560" w:lineRule="exact"/>
        <w:ind w:firstLine="616" w:firstLineChars="200"/>
        <w:textAlignment w:val="auto"/>
        <w:rPr>
          <w:rFonts w:hint="eastAsia" w:ascii="仿宋_GB2312" w:hAnsi="Courier" w:eastAsia="仿宋_GB2312" w:cs="Times New Roman"/>
          <w:snapToGrid w:val="0"/>
          <w:color w:val="auto"/>
          <w:spacing w:val="-6"/>
          <w:kern w:val="0"/>
          <w:sz w:val="32"/>
          <w:szCs w:val="20"/>
          <w:lang w:val="en-US" w:eastAsia="zh-CN" w:bidi="ar-SA"/>
        </w:rPr>
      </w:pPr>
      <w:r>
        <w:rPr>
          <w:rFonts w:hint="eastAsia" w:ascii="仿宋_GB2312" w:hAnsi="Courier" w:eastAsia="仿宋_GB2312" w:cs="Times New Roman"/>
          <w:snapToGrid w:val="0"/>
          <w:color w:val="auto"/>
          <w:spacing w:val="-6"/>
          <w:kern w:val="0"/>
          <w:sz w:val="32"/>
          <w:szCs w:val="20"/>
          <w:lang w:val="en-US" w:eastAsia="zh-CN" w:bidi="ar-SA"/>
        </w:rPr>
        <w:t>（三）不听从指挥、不遵守操作规程操作造成损失的；</w:t>
      </w:r>
    </w:p>
    <w:p>
      <w:pPr>
        <w:keepNext w:val="0"/>
        <w:keepLines w:val="0"/>
        <w:pageBreakBefore w:val="0"/>
        <w:numPr>
          <w:ilvl w:val="0"/>
          <w:numId w:val="0"/>
        </w:numPr>
        <w:kinsoku/>
        <w:wordWrap/>
        <w:overflowPunct/>
        <w:topLinePunct w:val="0"/>
        <w:autoSpaceDE/>
        <w:autoSpaceDN/>
        <w:bidi w:val="0"/>
        <w:spacing w:line="560" w:lineRule="exact"/>
        <w:ind w:firstLine="616" w:firstLineChars="200"/>
        <w:textAlignment w:val="auto"/>
        <w:rPr>
          <w:rFonts w:hint="eastAsia" w:ascii="仿宋_GB2312" w:hAnsi="Courier" w:eastAsia="仿宋_GB2312" w:cs="Times New Roman"/>
          <w:snapToGrid w:val="0"/>
          <w:color w:val="auto"/>
          <w:spacing w:val="-6"/>
          <w:kern w:val="0"/>
          <w:sz w:val="32"/>
          <w:szCs w:val="20"/>
          <w:lang w:val="en-US" w:eastAsia="zh-CN" w:bidi="ar-SA"/>
        </w:rPr>
      </w:pPr>
      <w:r>
        <w:rPr>
          <w:rFonts w:hint="eastAsia" w:ascii="仿宋_GB2312" w:hAnsi="Courier" w:eastAsia="仿宋_GB2312" w:cs="Times New Roman"/>
          <w:snapToGrid w:val="0"/>
          <w:color w:val="auto"/>
          <w:spacing w:val="-6"/>
          <w:kern w:val="0"/>
          <w:sz w:val="32"/>
          <w:szCs w:val="20"/>
          <w:lang w:val="en-US" w:eastAsia="zh-CN" w:bidi="ar-SA"/>
        </w:rPr>
        <w:t>（四）未了解仪器性能或尚未掌握操作技术，轻率动用资产设备，造成损失；</w:t>
      </w:r>
    </w:p>
    <w:p>
      <w:pPr>
        <w:keepNext w:val="0"/>
        <w:keepLines w:val="0"/>
        <w:pageBreakBefore w:val="0"/>
        <w:numPr>
          <w:ilvl w:val="0"/>
          <w:numId w:val="0"/>
        </w:numPr>
        <w:kinsoku/>
        <w:wordWrap/>
        <w:overflowPunct/>
        <w:topLinePunct w:val="0"/>
        <w:autoSpaceDE/>
        <w:autoSpaceDN/>
        <w:bidi w:val="0"/>
        <w:spacing w:line="560" w:lineRule="exact"/>
        <w:ind w:firstLine="616" w:firstLineChars="200"/>
        <w:textAlignment w:val="auto"/>
        <w:rPr>
          <w:rFonts w:hint="eastAsia" w:ascii="仿宋_GB2312" w:hAnsi="Courier" w:eastAsia="仿宋_GB2312" w:cs="Times New Roman"/>
          <w:snapToGrid w:val="0"/>
          <w:color w:val="auto"/>
          <w:spacing w:val="-6"/>
          <w:kern w:val="0"/>
          <w:sz w:val="32"/>
          <w:szCs w:val="20"/>
          <w:lang w:val="en-US" w:eastAsia="zh-CN" w:bidi="ar-SA"/>
        </w:rPr>
      </w:pPr>
      <w:r>
        <w:rPr>
          <w:rFonts w:hint="eastAsia" w:ascii="仿宋_GB2312" w:hAnsi="Courier" w:eastAsia="仿宋_GB2312" w:cs="Times New Roman"/>
          <w:snapToGrid w:val="0"/>
          <w:color w:val="auto"/>
          <w:spacing w:val="-6"/>
          <w:kern w:val="0"/>
          <w:sz w:val="32"/>
          <w:szCs w:val="20"/>
          <w:lang w:val="en-US" w:eastAsia="zh-CN" w:bidi="ar-SA"/>
        </w:rPr>
        <w:t>（五）工作不负责任发生指导错误，造成损失；</w:t>
      </w:r>
    </w:p>
    <w:p>
      <w:pPr>
        <w:keepNext w:val="0"/>
        <w:keepLines w:val="0"/>
        <w:pageBreakBefore w:val="0"/>
        <w:numPr>
          <w:ilvl w:val="0"/>
          <w:numId w:val="0"/>
        </w:numPr>
        <w:kinsoku/>
        <w:wordWrap/>
        <w:overflowPunct/>
        <w:topLinePunct w:val="0"/>
        <w:autoSpaceDE/>
        <w:autoSpaceDN/>
        <w:bidi w:val="0"/>
        <w:spacing w:line="560" w:lineRule="exact"/>
        <w:ind w:firstLine="616" w:firstLineChars="200"/>
        <w:textAlignment w:val="auto"/>
        <w:rPr>
          <w:rFonts w:hint="eastAsia" w:ascii="仿宋_GB2312" w:hAnsi="Courier" w:eastAsia="仿宋_GB2312" w:cs="Times New Roman"/>
          <w:snapToGrid w:val="0"/>
          <w:color w:val="auto"/>
          <w:spacing w:val="-6"/>
          <w:kern w:val="0"/>
          <w:sz w:val="32"/>
          <w:szCs w:val="20"/>
          <w:lang w:val="en-US" w:eastAsia="zh-CN" w:bidi="ar-SA"/>
        </w:rPr>
      </w:pPr>
      <w:r>
        <w:rPr>
          <w:rFonts w:hint="eastAsia" w:ascii="仿宋_GB2312" w:hAnsi="Courier" w:eastAsia="仿宋_GB2312" w:cs="Times New Roman"/>
          <w:snapToGrid w:val="0"/>
          <w:color w:val="auto"/>
          <w:spacing w:val="-6"/>
          <w:kern w:val="0"/>
          <w:sz w:val="32"/>
          <w:szCs w:val="20"/>
          <w:lang w:val="en-US" w:eastAsia="zh-CN" w:bidi="ar-SA"/>
        </w:rPr>
        <w:t>（六）外表有明显摔磕碰痕迹的；</w:t>
      </w:r>
    </w:p>
    <w:p>
      <w:pPr>
        <w:keepNext w:val="0"/>
        <w:keepLines w:val="0"/>
        <w:pageBreakBefore w:val="0"/>
        <w:numPr>
          <w:ilvl w:val="0"/>
          <w:numId w:val="0"/>
        </w:numPr>
        <w:kinsoku/>
        <w:wordWrap/>
        <w:overflowPunct/>
        <w:topLinePunct w:val="0"/>
        <w:autoSpaceDE/>
        <w:autoSpaceDN/>
        <w:bidi w:val="0"/>
        <w:spacing w:line="560" w:lineRule="exact"/>
        <w:ind w:firstLine="616" w:firstLineChars="200"/>
        <w:textAlignment w:val="auto"/>
        <w:rPr>
          <w:rFonts w:hint="eastAsia" w:ascii="仿宋_GB2312" w:hAnsi="Courier" w:eastAsia="仿宋_GB2312" w:cs="Times New Roman"/>
          <w:snapToGrid w:val="0"/>
          <w:color w:val="auto"/>
          <w:spacing w:val="-6"/>
          <w:kern w:val="0"/>
          <w:sz w:val="32"/>
          <w:szCs w:val="20"/>
          <w:lang w:val="en-US" w:eastAsia="zh-CN" w:bidi="ar-SA"/>
        </w:rPr>
      </w:pPr>
      <w:r>
        <w:rPr>
          <w:rFonts w:hint="eastAsia" w:ascii="仿宋_GB2312" w:hAnsi="Courier" w:eastAsia="仿宋_GB2312" w:cs="Times New Roman"/>
          <w:snapToGrid w:val="0"/>
          <w:color w:val="auto"/>
          <w:spacing w:val="-6"/>
          <w:kern w:val="0"/>
          <w:sz w:val="32"/>
          <w:szCs w:val="20"/>
          <w:lang w:val="en-US" w:eastAsia="zh-CN" w:bidi="ar-SA"/>
        </w:rPr>
        <w:t>（七）由于失职导致固定资产设备被盗、失火、水灾等造成损失的；</w:t>
      </w:r>
    </w:p>
    <w:p>
      <w:pPr>
        <w:keepNext w:val="0"/>
        <w:keepLines w:val="0"/>
        <w:pageBreakBefore w:val="0"/>
        <w:numPr>
          <w:ilvl w:val="0"/>
          <w:numId w:val="0"/>
        </w:numPr>
        <w:kinsoku/>
        <w:wordWrap/>
        <w:overflowPunct/>
        <w:topLinePunct w:val="0"/>
        <w:autoSpaceDE/>
        <w:autoSpaceDN/>
        <w:bidi w:val="0"/>
        <w:spacing w:line="560" w:lineRule="exact"/>
        <w:ind w:firstLine="616" w:firstLineChars="200"/>
        <w:textAlignment w:val="auto"/>
        <w:rPr>
          <w:rFonts w:ascii="仿宋" w:hAnsi="仿宋" w:eastAsia="仿宋" w:cs="仿宋"/>
          <w:sz w:val="28"/>
          <w:szCs w:val="28"/>
        </w:rPr>
      </w:pPr>
      <w:r>
        <w:rPr>
          <w:rFonts w:hint="eastAsia" w:ascii="仿宋_GB2312" w:hAnsi="Courier" w:eastAsia="仿宋_GB2312" w:cs="Times New Roman"/>
          <w:snapToGrid w:val="0"/>
          <w:color w:val="auto"/>
          <w:spacing w:val="-6"/>
          <w:kern w:val="0"/>
          <w:sz w:val="32"/>
          <w:szCs w:val="20"/>
          <w:lang w:val="en-US" w:eastAsia="zh-CN" w:bidi="ar-SA"/>
        </w:rPr>
        <w:t>（八）使用部门管理混乱，如装修搬迁、工作调动、离职退休等原因资产未移交造成损失的；</w:t>
      </w:r>
    </w:p>
    <w:p>
      <w:pPr>
        <w:keepNext w:val="0"/>
        <w:keepLines w:val="0"/>
        <w:pageBreakBefore w:val="0"/>
        <w:numPr>
          <w:ilvl w:val="0"/>
          <w:numId w:val="0"/>
        </w:numPr>
        <w:kinsoku/>
        <w:wordWrap/>
        <w:overflowPunct/>
        <w:topLinePunct w:val="0"/>
        <w:autoSpaceDE/>
        <w:autoSpaceDN/>
        <w:bidi w:val="0"/>
        <w:spacing w:line="560" w:lineRule="exact"/>
        <w:ind w:firstLine="616" w:firstLineChars="200"/>
        <w:textAlignment w:val="auto"/>
        <w:rPr>
          <w:rFonts w:hint="eastAsia" w:ascii="仿宋_GB2312" w:hAnsi="Courier" w:eastAsia="仿宋_GB2312" w:cs="Times New Roman"/>
          <w:snapToGrid w:val="0"/>
          <w:color w:val="auto"/>
          <w:spacing w:val="-6"/>
          <w:kern w:val="0"/>
          <w:sz w:val="32"/>
          <w:szCs w:val="20"/>
          <w:lang w:val="en-US" w:eastAsia="zh-CN" w:bidi="ar-SA"/>
        </w:rPr>
      </w:pPr>
      <w:r>
        <w:rPr>
          <w:rFonts w:hint="eastAsia" w:ascii="仿宋_GB2312" w:hAnsi="Courier" w:eastAsia="仿宋_GB2312" w:cs="Times New Roman"/>
          <w:snapToGrid w:val="0"/>
          <w:color w:val="auto"/>
          <w:spacing w:val="-6"/>
          <w:kern w:val="0"/>
          <w:sz w:val="32"/>
          <w:szCs w:val="20"/>
          <w:lang w:val="en-US" w:eastAsia="zh-CN" w:bidi="ar-SA"/>
        </w:rPr>
        <w:t>（九）在保管和使用过程中玩忽职守、不负责任或其他不遵守规章制度等主观原因，造成损失的。</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Courier" w:eastAsia="仿宋_GB2312" w:cs="Times New Roman"/>
          <w:snapToGrid w:val="0"/>
          <w:color w:val="auto"/>
          <w:spacing w:val="-6"/>
          <w:kern w:val="0"/>
          <w:sz w:val="32"/>
          <w:szCs w:val="20"/>
          <w:lang w:val="en-US" w:eastAsia="zh-CN" w:bidi="ar-SA"/>
        </w:rPr>
      </w:pPr>
      <w:r>
        <w:rPr>
          <w:rFonts w:hint="eastAsia" w:ascii="楷体_GB2312" w:hAnsi="楷体_GB2312" w:eastAsia="楷体_GB2312" w:cs="楷体_GB2312"/>
          <w:b w:val="0"/>
          <w:bCs w:val="0"/>
          <w:snapToGrid/>
          <w:color w:val="auto"/>
          <w:spacing w:val="0"/>
          <w:kern w:val="2"/>
          <w:sz w:val="32"/>
          <w:szCs w:val="24"/>
          <w:lang w:val="en-US" w:eastAsia="zh-CN" w:bidi="ar-SA"/>
        </w:rPr>
        <w:t>第二十八条</w:t>
      </w:r>
      <w:r>
        <w:rPr>
          <w:rFonts w:hint="eastAsia" w:ascii="仿宋_GB2312" w:hAnsi="Courier" w:eastAsia="仿宋_GB2312" w:cs="Times New Roman"/>
          <w:snapToGrid w:val="0"/>
          <w:color w:val="auto"/>
          <w:spacing w:val="-6"/>
          <w:kern w:val="0"/>
          <w:sz w:val="32"/>
          <w:szCs w:val="20"/>
          <w:lang w:val="en-US" w:eastAsia="zh-CN" w:bidi="ar-SA"/>
        </w:rPr>
        <w:t xml:space="preserve"> 固定资产损坏赔偿金可用于修理固定资产设备。固定资产丢失使用部门必须先办理赔偿手续后，方可办理重新采购手续。</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黑体" w:hAnsi="Courier" w:eastAsia="黑体" w:cs="Times New Roman"/>
          <w:snapToGrid w:val="0"/>
          <w:spacing w:val="-6"/>
          <w:kern w:val="0"/>
          <w:sz w:val="32"/>
          <w:szCs w:val="20"/>
          <w:lang w:val="en-US" w:eastAsia="zh-CN" w:bidi="ar-SA"/>
        </w:rPr>
      </w:pPr>
      <w:r>
        <w:rPr>
          <w:rFonts w:hint="eastAsia" w:ascii="黑体" w:hAnsi="Courier" w:eastAsia="黑体" w:cs="Times New Roman"/>
          <w:snapToGrid w:val="0"/>
          <w:spacing w:val="-6"/>
          <w:kern w:val="0"/>
          <w:sz w:val="32"/>
          <w:szCs w:val="20"/>
          <w:lang w:val="en-US" w:eastAsia="zh-CN" w:bidi="ar-SA"/>
        </w:rPr>
        <w:t>第六章 固定资产的清查、盘点和报废</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楷体_GB2312" w:hAnsi="楷体_GB2312" w:eastAsia="楷体_GB2312" w:cs="楷体_GB2312"/>
          <w:b w:val="0"/>
          <w:bCs w:val="0"/>
          <w:snapToGrid/>
          <w:color w:val="auto"/>
          <w:spacing w:val="0"/>
          <w:kern w:val="2"/>
          <w:sz w:val="32"/>
          <w:szCs w:val="24"/>
          <w:lang w:val="en-US" w:eastAsia="zh-CN" w:bidi="ar-SA"/>
        </w:rPr>
        <w:t xml:space="preserve">第二十九条 </w:t>
      </w:r>
      <w:r>
        <w:rPr>
          <w:rFonts w:hint="eastAsia" w:ascii="仿宋_GB2312" w:hAnsi="仿宋_GB2312" w:eastAsia="仿宋_GB2312" w:cs="仿宋_GB2312"/>
          <w:b w:val="0"/>
          <w:bCs/>
          <w:sz w:val="32"/>
          <w:szCs w:val="32"/>
          <w:lang w:val="en-US" w:eastAsia="zh-CN"/>
        </w:rPr>
        <w:t>学校每学年定期组织资产清查、盘点工作。原则上</w:t>
      </w:r>
      <w:r>
        <w:rPr>
          <w:rFonts w:hint="eastAsia" w:ascii="仿宋_GB2312" w:hAnsi="仿宋_GB2312" w:eastAsia="仿宋_GB2312" w:cs="仿宋_GB2312"/>
          <w:sz w:val="32"/>
          <w:szCs w:val="32"/>
        </w:rPr>
        <w:t>每</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-12</w:t>
      </w:r>
      <w:r>
        <w:rPr>
          <w:rFonts w:hint="eastAsia" w:ascii="仿宋_GB2312" w:hAnsi="仿宋_GB2312" w:eastAsia="仿宋_GB2312" w:cs="仿宋_GB2312"/>
          <w:sz w:val="32"/>
          <w:szCs w:val="32"/>
        </w:rPr>
        <w:t>月份进行一次固定资产清查、盘点。</w:t>
      </w:r>
      <w:r>
        <w:rPr>
          <w:rFonts w:hint="eastAsia" w:ascii="仿宋_GB2312" w:hAnsi="仿宋_GB2312" w:eastAsia="仿宋_GB2312" w:cs="仿宋_GB2312"/>
          <w:b w:val="0"/>
          <w:bCs/>
          <w:sz w:val="32"/>
          <w:szCs w:val="32"/>
          <w:lang w:val="en-US" w:eastAsia="zh-CN"/>
        </w:rPr>
        <w:t>根据具体安排进行，也可进行专项盘点。</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（一）学校</w:t>
      </w:r>
      <w:r>
        <w:rPr>
          <w:rFonts w:hint="eastAsia" w:ascii="仿宋_GB2312" w:hAnsi="仿宋_GB2312" w:eastAsia="仿宋_GB2312" w:cs="仿宋_GB2312"/>
          <w:sz w:val="32"/>
          <w:szCs w:val="32"/>
          <w:lang w:val="en-US" w:eastAsia="zh-CN"/>
        </w:rPr>
        <w:t>总务处</w:t>
      </w:r>
      <w:r>
        <w:rPr>
          <w:rFonts w:hint="eastAsia" w:ascii="仿宋_GB2312" w:hAnsi="仿宋_GB2312" w:eastAsia="仿宋_GB2312" w:cs="仿宋_GB2312"/>
          <w:b w:val="0"/>
          <w:bCs/>
          <w:sz w:val="32"/>
          <w:szCs w:val="32"/>
          <w:lang w:val="en-US" w:eastAsia="zh-CN"/>
        </w:rPr>
        <w:t>和财务处负责所在学校的盘点工作。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val="0"/>
          <w:bCs/>
          <w:sz w:val="32"/>
          <w:szCs w:val="32"/>
          <w:lang w:val="en-US" w:eastAsia="zh-CN"/>
        </w:rPr>
        <w:t>学校成立以校领导为组长的固定资产清查小组，由</w:t>
      </w:r>
      <w:r>
        <w:rPr>
          <w:rFonts w:hint="eastAsia" w:ascii="仿宋_GB2312" w:hAnsi="仿宋_GB2312" w:eastAsia="仿宋_GB2312" w:cs="仿宋_GB2312"/>
          <w:sz w:val="32"/>
          <w:szCs w:val="32"/>
          <w:lang w:val="en-US" w:eastAsia="zh-CN"/>
        </w:rPr>
        <w:t>总务处</w:t>
      </w:r>
      <w:r>
        <w:rPr>
          <w:rFonts w:hint="eastAsia" w:ascii="仿宋_GB2312" w:hAnsi="仿宋_GB2312" w:eastAsia="仿宋_GB2312" w:cs="仿宋_GB2312"/>
          <w:b w:val="0"/>
          <w:bCs/>
          <w:sz w:val="32"/>
          <w:szCs w:val="32"/>
          <w:lang w:val="en-US" w:eastAsia="zh-CN"/>
        </w:rPr>
        <w:t>、财务处、使用部门相关人员为成员，明确具体责任分工。</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总务处</w:t>
      </w:r>
      <w:r>
        <w:rPr>
          <w:rFonts w:hint="eastAsia" w:ascii="仿宋_GB2312" w:hAnsi="仿宋_GB2312" w:eastAsia="仿宋_GB2312" w:cs="仿宋_GB2312"/>
          <w:sz w:val="32"/>
          <w:szCs w:val="32"/>
        </w:rPr>
        <w:t>制订清查方案并组织实施，财务处协助组织清查，各部门负责人和固定资产管理员按学校</w:t>
      </w:r>
      <w:r>
        <w:rPr>
          <w:rFonts w:hint="eastAsia" w:ascii="仿宋_GB2312" w:hAnsi="仿宋_GB2312" w:eastAsia="仿宋_GB2312" w:cs="仿宋_GB2312"/>
          <w:sz w:val="32"/>
          <w:szCs w:val="32"/>
          <w:lang w:val="en-US" w:eastAsia="zh-CN"/>
        </w:rPr>
        <w:t>总务处</w:t>
      </w:r>
      <w:r>
        <w:rPr>
          <w:rFonts w:hint="eastAsia" w:ascii="仿宋_GB2312" w:hAnsi="仿宋_GB2312" w:eastAsia="仿宋_GB2312" w:cs="仿宋_GB2312"/>
          <w:sz w:val="32"/>
          <w:szCs w:val="32"/>
        </w:rPr>
        <w:t>的要求做好本部门固定资产的清查、核对工作。</w:t>
      </w:r>
      <w:r>
        <w:rPr>
          <w:rFonts w:hint="eastAsia" w:ascii="仿宋_GB2312" w:hAnsi="仿宋_GB2312" w:eastAsia="仿宋_GB2312" w:cs="仿宋_GB2312"/>
          <w:sz w:val="32"/>
          <w:szCs w:val="32"/>
          <w:lang w:val="en-US" w:eastAsia="zh-CN"/>
        </w:rPr>
        <w:t>总务处</w:t>
      </w:r>
      <w:r>
        <w:rPr>
          <w:rFonts w:hint="eastAsia" w:ascii="仿宋_GB2312" w:hAnsi="仿宋_GB2312" w:eastAsia="仿宋_GB2312" w:cs="仿宋_GB2312"/>
          <w:sz w:val="32"/>
          <w:szCs w:val="32"/>
        </w:rPr>
        <w:t>和使用部门每年进行一次固定资产台账核对，随固定资产清查、盘点进行。做到人各有责、物各有账、账账相符、账物相符。</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（二）清查盘点的方式：利用集团资产盘点系统，以ERP系统中固定资产台账为依据，清查资产编码、账、物是否一致。</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（三）清查盘点完成后</w:t>
      </w:r>
      <w:r>
        <w:rPr>
          <w:rFonts w:hint="eastAsia" w:ascii="仿宋_GB2312" w:hAnsi="仿宋_GB2312" w:eastAsia="仿宋_GB2312" w:cs="仿宋_GB2312"/>
          <w:sz w:val="32"/>
          <w:szCs w:val="32"/>
          <w:lang w:val="en-US" w:eastAsia="zh-CN"/>
        </w:rPr>
        <w:t>总务处</w:t>
      </w:r>
      <w:r>
        <w:rPr>
          <w:rFonts w:hint="eastAsia" w:ascii="仿宋_GB2312" w:hAnsi="仿宋_GB2312" w:eastAsia="仿宋_GB2312" w:cs="仿宋_GB2312"/>
          <w:b w:val="0"/>
          <w:bCs/>
          <w:sz w:val="32"/>
          <w:szCs w:val="32"/>
          <w:lang w:val="en-US" w:eastAsia="zh-CN"/>
        </w:rPr>
        <w:t>负责编写清查报告，经清查小组组长确认后存档。</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楷体_GB2312" w:hAnsi="楷体_GB2312" w:eastAsia="楷体_GB2312" w:cs="楷体_GB2312"/>
          <w:b w:val="0"/>
          <w:bCs w:val="0"/>
          <w:snapToGrid/>
          <w:color w:val="auto"/>
          <w:spacing w:val="0"/>
          <w:kern w:val="2"/>
          <w:sz w:val="32"/>
          <w:szCs w:val="24"/>
          <w:lang w:val="en-US" w:eastAsia="zh-CN" w:bidi="ar-SA"/>
        </w:rPr>
        <w:t>第三十条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val="0"/>
          <w:bCs/>
          <w:sz w:val="32"/>
          <w:szCs w:val="32"/>
          <w:lang w:val="en-US" w:eastAsia="zh-CN"/>
        </w:rPr>
        <w:t>资产盘点时，要同时进行资产编码标签的检查，保证编码标签的完整有效，出现损毁的要重新打印粘贴。</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楷体_GB2312" w:hAnsi="楷体_GB2312" w:eastAsia="楷体_GB2312" w:cs="楷体_GB2312"/>
          <w:b w:val="0"/>
          <w:bCs w:val="0"/>
          <w:snapToGrid/>
          <w:color w:val="auto"/>
          <w:spacing w:val="0"/>
          <w:kern w:val="2"/>
          <w:sz w:val="32"/>
          <w:szCs w:val="24"/>
          <w:lang w:val="en-US" w:eastAsia="zh-CN" w:bidi="ar-SA"/>
        </w:rPr>
        <w:t xml:space="preserve">第三十一条 </w:t>
      </w:r>
      <w:r>
        <w:rPr>
          <w:rFonts w:hint="eastAsia" w:ascii="仿宋_GB2312" w:hAnsi="仿宋_GB2312" w:eastAsia="仿宋_GB2312" w:cs="仿宋_GB2312"/>
          <w:sz w:val="32"/>
          <w:szCs w:val="32"/>
        </w:rPr>
        <w:t>清查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核对中</w:t>
      </w:r>
      <w:r>
        <w:rPr>
          <w:rFonts w:hint="eastAsia" w:ascii="仿宋_GB2312" w:hAnsi="仿宋_GB2312" w:eastAsia="仿宋_GB2312" w:cs="仿宋_GB2312"/>
          <w:b w:val="0"/>
          <w:bCs/>
          <w:sz w:val="32"/>
          <w:szCs w:val="32"/>
          <w:lang w:val="en-US" w:eastAsia="zh-CN"/>
        </w:rPr>
        <w:t>对闲置资产情况进行摸底，统计可调拨的闲置资产信息，以便部门与部门之间的调剂。盘点结果出现盘亏、盘盈情况时，</w:t>
      </w:r>
      <w:r>
        <w:rPr>
          <w:rFonts w:hint="eastAsia" w:ascii="仿宋_GB2312" w:hAnsi="仿宋_GB2312" w:eastAsia="仿宋_GB2312" w:cs="仿宋_GB2312"/>
          <w:sz w:val="32"/>
          <w:szCs w:val="32"/>
        </w:rPr>
        <w:t>由使用部门查明原因</w:t>
      </w:r>
      <w:r>
        <w:rPr>
          <w:rFonts w:hint="eastAsia" w:ascii="仿宋_GB2312" w:hAnsi="仿宋_GB2312" w:eastAsia="仿宋_GB2312" w:cs="仿宋_GB2312"/>
          <w:b w:val="0"/>
          <w:bCs/>
          <w:sz w:val="32"/>
          <w:szCs w:val="32"/>
          <w:lang w:val="en-US" w:eastAsia="zh-CN"/>
        </w:rPr>
        <w:t>经所属学校资产管理部门作出处理意见，报批后学校资产管理部门与财务部门根据盘点情况做账务处理。</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val="0"/>
          <w:snapToGrid/>
          <w:color w:val="auto"/>
          <w:spacing w:val="0"/>
          <w:kern w:val="2"/>
          <w:sz w:val="32"/>
          <w:szCs w:val="24"/>
          <w:lang w:val="en-US" w:eastAsia="zh-CN" w:bidi="ar-SA"/>
        </w:rPr>
        <w:t xml:space="preserve">第三十二条 </w:t>
      </w:r>
      <w:r>
        <w:rPr>
          <w:rFonts w:hint="eastAsia" w:ascii="仿宋_GB2312" w:hAnsi="仿宋_GB2312" w:eastAsia="仿宋_GB2312" w:cs="仿宋_GB2312"/>
          <w:b w:val="0"/>
          <w:bCs/>
          <w:sz w:val="32"/>
          <w:szCs w:val="32"/>
          <w:lang w:val="en-US" w:eastAsia="zh-CN"/>
        </w:rPr>
        <w:t>资产盘点时，出现固定资产损毁，实物与系统台账不一致的，使用部门应说明原因，并及时予以维修或更正。</w:t>
      </w:r>
      <w:r>
        <w:rPr>
          <w:rFonts w:hint="eastAsia" w:ascii="仿宋_GB2312" w:hAnsi="仿宋_GB2312" w:eastAsia="仿宋_GB2312" w:cs="仿宋_GB2312"/>
          <w:sz w:val="32"/>
          <w:szCs w:val="32"/>
        </w:rPr>
        <w:t>固定资产发现损坏、丢失、被盗、使用不当</w:t>
      </w:r>
      <w:r>
        <w:rPr>
          <w:rFonts w:hint="eastAsia" w:ascii="仿宋_GB2312" w:hAnsi="仿宋_GB2312" w:eastAsia="仿宋_GB2312" w:cs="仿宋_GB2312"/>
          <w:b w:val="0"/>
          <w:bCs/>
          <w:sz w:val="32"/>
          <w:szCs w:val="32"/>
          <w:lang w:val="en-US" w:eastAsia="zh-CN"/>
        </w:rPr>
        <w:t>非正常情况造成的损失，总务处有权要求使用部门按照损坏、丢失赔偿规定进行赔偿。</w:t>
      </w:r>
      <w:r>
        <w:rPr>
          <w:rFonts w:hint="eastAsia" w:ascii="仿宋_GB2312" w:hAnsi="仿宋_GB2312" w:eastAsia="仿宋_GB2312" w:cs="仿宋_GB2312"/>
          <w:sz w:val="32"/>
          <w:szCs w:val="32"/>
        </w:rPr>
        <w:t>因工作失职造成严重损失的，应追究当事人及有关领导的责任。固定资产损坏、丢失需赔偿的</w:t>
      </w:r>
      <w:r>
        <w:rPr>
          <w:rFonts w:hint="eastAsia" w:ascii="仿宋_GB2312" w:hAnsi="仿宋_GB2312" w:eastAsia="仿宋_GB2312" w:cs="仿宋_GB2312"/>
          <w:sz w:val="32"/>
          <w:szCs w:val="32"/>
          <w:lang w:eastAsia="zh-CN"/>
        </w:rPr>
        <w:t>责任认定、赔偿价值计算方法等相关规定按照</w:t>
      </w:r>
      <w:r>
        <w:rPr>
          <w:rFonts w:hint="eastAsia" w:ascii="仿宋_GB2312" w:hAnsi="仿宋_GB2312" w:eastAsia="仿宋_GB2312" w:cs="仿宋_GB2312"/>
          <w:sz w:val="32"/>
          <w:szCs w:val="32"/>
          <w:lang w:val="en-US" w:eastAsia="zh-CN"/>
        </w:rPr>
        <w:t>学校和</w:t>
      </w:r>
      <w:r>
        <w:rPr>
          <w:rFonts w:hint="eastAsia" w:ascii="仿宋_GB2312" w:hAnsi="仿宋_GB2312" w:eastAsia="仿宋_GB2312" w:cs="仿宋_GB2312"/>
          <w:sz w:val="32"/>
          <w:szCs w:val="32"/>
          <w:lang w:eastAsia="zh-CN"/>
        </w:rPr>
        <w:t>集团固定资产管理办法相关条款执行。</w:t>
      </w:r>
    </w:p>
    <w:p>
      <w:pPr>
        <w:keepNext w:val="0"/>
        <w:keepLines w:val="0"/>
        <w:pageBreakBefore w:val="0"/>
        <w:kinsoku/>
        <w:wordWrap/>
        <w:overflowPunct/>
        <w:topLinePunct w:val="0"/>
        <w:autoSpaceDE/>
        <w:autoSpaceDN/>
        <w:bidi w:val="0"/>
        <w:spacing w:line="560" w:lineRule="exact"/>
        <w:ind w:left="49" w:right="240" w:firstLine="57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napToGrid/>
          <w:color w:val="auto"/>
          <w:spacing w:val="0"/>
          <w:kern w:val="2"/>
          <w:sz w:val="32"/>
          <w:szCs w:val="24"/>
          <w:lang w:val="en-US" w:eastAsia="zh-CN" w:bidi="ar-SA"/>
        </w:rPr>
        <w:t>第三十三条</w:t>
      </w:r>
      <w:r>
        <w:rPr>
          <w:rFonts w:hint="eastAsia" w:ascii="仿宋_GB2312" w:hAnsi="仿宋_GB2312" w:eastAsia="仿宋_GB2312" w:cs="仿宋_GB2312"/>
          <w:sz w:val="32"/>
          <w:szCs w:val="32"/>
        </w:rPr>
        <w:t xml:space="preserve"> 固定资产确已丧失效能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属正常报损、报废的固定资产，要按规定填写资产报废申请表，经资产管理部门进行审核；电脑、打印机、多媒体设备、服务器、交换机等IT类资产报废还需经信息部门审核。固定资产的报废一般应符合以下条件：</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（一）由于损耗或陈旧，折旧期满不能继续使用；</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（二）由于技术进步，必须由先进设备替代；</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（三）由于办公资源更新，原有的资产已不符合配套使用的要求；</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（四）严重缺少配件，或者维修费用过高，没有修复价值的；</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（五）不符合国家标准，需强制报废的</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lang w:val="en-US" w:eastAsia="zh-CN"/>
        </w:rPr>
      </w:pPr>
      <w:r>
        <w:rPr>
          <w:rFonts w:hint="eastAsia" w:ascii="楷体_GB2312" w:hAnsi="楷体_GB2312" w:eastAsia="楷体_GB2312" w:cs="楷体_GB2312"/>
          <w:b w:val="0"/>
          <w:bCs w:val="0"/>
          <w:snapToGrid/>
          <w:color w:val="auto"/>
          <w:spacing w:val="0"/>
          <w:kern w:val="2"/>
          <w:sz w:val="32"/>
          <w:szCs w:val="24"/>
          <w:lang w:val="en-US" w:eastAsia="zh-CN" w:bidi="ar-SA"/>
        </w:rPr>
        <w:t>第三十四条</w:t>
      </w:r>
      <w:r>
        <w:rPr>
          <w:rFonts w:hint="eastAsia" w:ascii="仿宋_GB2312" w:eastAsia="仿宋_GB2312"/>
          <w:b/>
          <w:bCs/>
          <w:color w:val="auto"/>
          <w:sz w:val="32"/>
          <w:lang w:val="en-US" w:eastAsia="zh-CN"/>
        </w:rPr>
        <w:t xml:space="preserve"> </w:t>
      </w:r>
      <w:r>
        <w:rPr>
          <w:rFonts w:hint="eastAsia" w:ascii="仿宋_GB2312" w:eastAsia="仿宋_GB2312"/>
          <w:color w:val="auto"/>
          <w:sz w:val="32"/>
          <w:lang w:val="en-US" w:eastAsia="zh-CN"/>
        </w:rPr>
        <w:t>固定资产处置工作由总务处、财务处共同负责。严格按照报废流程进行报废，未经批准任何部门或个人无权自行处置。固定资产处置收入包括出售收入、报废、报损残值变价收入，统一缴财务处。</w:t>
      </w:r>
      <w:r>
        <w:rPr>
          <w:rFonts w:hint="eastAsia" w:ascii="仿宋_GB2312" w:hAnsi="仿宋_GB2312" w:eastAsia="仿宋_GB2312" w:cs="仿宋_GB2312"/>
          <w:sz w:val="32"/>
          <w:szCs w:val="32"/>
        </w:rPr>
        <w:t>出售款如数缴给学校财务处。同时，财务处、</w:t>
      </w:r>
      <w:r>
        <w:rPr>
          <w:rFonts w:hint="eastAsia" w:ascii="仿宋_GB2312" w:hAnsi="仿宋_GB2312" w:eastAsia="仿宋_GB2312" w:cs="仿宋_GB2312"/>
          <w:sz w:val="32"/>
          <w:szCs w:val="32"/>
          <w:lang w:val="en-US" w:eastAsia="zh-CN"/>
        </w:rPr>
        <w:t>总务处</w:t>
      </w:r>
      <w:r>
        <w:rPr>
          <w:rFonts w:hint="eastAsia" w:ascii="仿宋_GB2312" w:hAnsi="仿宋_GB2312" w:eastAsia="仿宋_GB2312" w:cs="仿宋_GB2312"/>
          <w:sz w:val="32"/>
          <w:szCs w:val="32"/>
        </w:rPr>
        <w:t>及使用部门</w:t>
      </w:r>
      <w:r>
        <w:rPr>
          <w:rFonts w:hint="eastAsia" w:ascii="仿宋_GB2312" w:hAnsi="仿宋_GB2312" w:eastAsia="仿宋_GB2312" w:cs="仿宋_GB2312"/>
          <w:sz w:val="32"/>
          <w:szCs w:val="32"/>
          <w:lang w:val="en-US" w:eastAsia="zh-CN"/>
        </w:rPr>
        <w:t>及时做</w:t>
      </w:r>
      <w:r>
        <w:rPr>
          <w:rFonts w:hint="eastAsia" w:ascii="仿宋_GB2312" w:hAnsi="仿宋_GB2312" w:eastAsia="仿宋_GB2312" w:cs="仿宋_GB2312"/>
          <w:sz w:val="32"/>
          <w:szCs w:val="32"/>
        </w:rPr>
        <w:t>相应账务处理</w:t>
      </w:r>
      <w:r>
        <w:rPr>
          <w:rFonts w:hint="eastAsia" w:ascii="仿宋_GB2312" w:hAnsi="仿宋_GB2312" w:eastAsia="仿宋_GB2312" w:cs="仿宋_GB2312"/>
          <w:sz w:val="32"/>
          <w:szCs w:val="32"/>
          <w:lang w:eastAsia="zh-CN"/>
        </w:rPr>
        <w:t>，</w:t>
      </w:r>
      <w:r>
        <w:rPr>
          <w:rFonts w:hint="eastAsia" w:ascii="仿宋_GB2312" w:eastAsia="仿宋_GB2312"/>
          <w:color w:val="auto"/>
          <w:sz w:val="32"/>
          <w:lang w:val="en-US" w:eastAsia="zh-CN"/>
        </w:rPr>
        <w:t>做到账实相符。</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jc w:val="center"/>
        <w:textAlignment w:val="auto"/>
        <w:rPr>
          <w:rFonts w:hint="eastAsia" w:ascii="仿宋_GB2312" w:eastAsia="仿宋_GB2312"/>
          <w:color w:val="auto"/>
          <w:sz w:val="32"/>
          <w:lang w:val="en-US" w:eastAsia="zh-CN"/>
        </w:rPr>
      </w:pPr>
      <w:r>
        <w:rPr>
          <w:rFonts w:hint="eastAsia" w:ascii="黑体" w:hAnsi="Courier" w:eastAsia="黑体" w:cs="Times New Roman"/>
          <w:snapToGrid w:val="0"/>
          <w:spacing w:val="-6"/>
          <w:kern w:val="0"/>
          <w:sz w:val="32"/>
          <w:szCs w:val="20"/>
          <w:lang w:val="en-US" w:eastAsia="zh-CN" w:bidi="ar-SA"/>
        </w:rPr>
        <w:t>第七章 附  则</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val="0"/>
          <w:bCs w:val="0"/>
          <w:snapToGrid/>
          <w:color w:val="auto"/>
          <w:spacing w:val="0"/>
          <w:kern w:val="2"/>
          <w:sz w:val="32"/>
          <w:szCs w:val="24"/>
          <w:lang w:val="en-US" w:eastAsia="zh-CN" w:bidi="ar-SA"/>
        </w:rPr>
        <w:t>第三十五条</w:t>
      </w:r>
      <w:r>
        <w:rPr>
          <w:rFonts w:hint="eastAsia" w:ascii="仿宋_GB2312" w:hAnsi="仿宋_GB2312" w:eastAsia="仿宋_GB2312" w:cs="仿宋_GB2312"/>
          <w:sz w:val="32"/>
          <w:szCs w:val="32"/>
        </w:rPr>
        <w:t xml:space="preserve"> 各部门可根据本办法，结合具体管理范围和实务操作，制定</w:t>
      </w:r>
      <w:r>
        <w:rPr>
          <w:rFonts w:hint="eastAsia" w:ascii="仿宋_GB2312" w:hAnsi="仿宋_GB2312" w:eastAsia="仿宋_GB2312" w:cs="仿宋_GB2312"/>
          <w:sz w:val="32"/>
          <w:szCs w:val="32"/>
          <w:lang w:eastAsia="zh-CN"/>
        </w:rPr>
        <w:t>本部门</w:t>
      </w:r>
      <w:r>
        <w:rPr>
          <w:rFonts w:hint="eastAsia" w:ascii="仿宋_GB2312" w:hAnsi="仿宋_GB2312" w:eastAsia="仿宋_GB2312" w:cs="仿宋_GB2312"/>
          <w:sz w:val="32"/>
          <w:szCs w:val="32"/>
        </w:rPr>
        <w:t>具体的管理办法。</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val="0"/>
          <w:bCs w:val="0"/>
          <w:snapToGrid/>
          <w:color w:val="auto"/>
          <w:spacing w:val="0"/>
          <w:kern w:val="2"/>
          <w:sz w:val="32"/>
          <w:szCs w:val="24"/>
          <w:lang w:val="en-US" w:eastAsia="zh-CN" w:bidi="ar-SA"/>
        </w:rPr>
        <w:t>第三十六条</w:t>
      </w:r>
      <w:r>
        <w:rPr>
          <w:rFonts w:hint="eastAsia" w:ascii="仿宋_GB2312" w:hAnsi="仿宋_GB2312" w:eastAsia="仿宋_GB2312" w:cs="仿宋_GB2312"/>
          <w:sz w:val="32"/>
          <w:szCs w:val="32"/>
        </w:rPr>
        <w:t xml:space="preserve"> 本管理办法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试行）</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学校总务处</w:t>
      </w:r>
      <w:r>
        <w:rPr>
          <w:rFonts w:hint="eastAsia" w:ascii="仿宋_GB2312" w:hAnsi="仿宋_GB2312" w:eastAsia="仿宋_GB2312" w:cs="仿宋_GB2312"/>
          <w:sz w:val="32"/>
          <w:szCs w:val="32"/>
        </w:rPr>
        <w:t>负责落实实施，并负责解释。</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楷体_GB2312" w:hAnsi="楷体_GB2312" w:eastAsia="楷体_GB2312" w:cs="楷体_GB2312"/>
          <w:b w:val="0"/>
          <w:bCs w:val="0"/>
          <w:snapToGrid/>
          <w:color w:val="auto"/>
          <w:spacing w:val="0"/>
          <w:kern w:val="2"/>
          <w:sz w:val="32"/>
          <w:szCs w:val="24"/>
          <w:lang w:val="en-US" w:eastAsia="zh-CN" w:bidi="ar-SA"/>
        </w:rPr>
        <w:t xml:space="preserve">第三十七条 </w:t>
      </w:r>
      <w:r>
        <w:rPr>
          <w:rFonts w:hint="eastAsia" w:ascii="仿宋_GB2312" w:hAnsi="仿宋_GB2312" w:eastAsia="仿宋_GB2312" w:cs="仿宋_GB2312"/>
          <w:sz w:val="32"/>
          <w:szCs w:val="32"/>
        </w:rPr>
        <w:t>本管理办法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试行）</w:t>
      </w:r>
      <w:r>
        <w:rPr>
          <w:rFonts w:hint="eastAsia" w:ascii="仿宋_GB2312" w:hAnsi="仿宋_GB2312" w:eastAsia="仿宋_GB2312" w:cs="仿宋_GB2312"/>
          <w:sz w:val="32"/>
          <w:szCs w:val="32"/>
        </w:rPr>
        <w:t>自公布之日起生效，</w:t>
      </w:r>
      <w:r>
        <w:rPr>
          <w:rFonts w:hint="eastAsia" w:ascii="仿宋_GB2312" w:hAnsi="仿宋_GB2312" w:eastAsia="仿宋_GB2312" w:cs="仿宋_GB2312"/>
          <w:sz w:val="32"/>
          <w:szCs w:val="32"/>
          <w:lang w:eastAsia="zh-CN"/>
        </w:rPr>
        <w:t>未尽事宜以集团固定资产管理规定执行。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w:panose1 w:val="02060409020205020404"/>
    <w:charset w:val="00"/>
    <w:family w:val="moder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- 1 -</w:t>
                          </w:r>
                          <w:r>
                            <w:rPr>
                              <w:rFonts w:hint="eastAsia" w:ascii="宋体" w:hAnsi="宋体" w:eastAsia="宋体" w:cs="宋体"/>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- 1 -</w:t>
                    </w:r>
                    <w:r>
                      <w:rPr>
                        <w:rFonts w:hint="eastAsia" w:ascii="宋体" w:hAnsi="宋体" w:eastAsia="宋体" w:cs="宋体"/>
                        <w:sz w:val="28"/>
                        <w:szCs w:val="4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6C8893"/>
    <w:multiLevelType w:val="singleLevel"/>
    <w:tmpl w:val="FB6C889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mYjk4MWEyMmJmMGY4NjcwNmFiOWI4ZDI5NjE1NGMifQ=="/>
  </w:docVars>
  <w:rsids>
    <w:rsidRoot w:val="00000000"/>
    <w:rsid w:val="00552988"/>
    <w:rsid w:val="02752E4B"/>
    <w:rsid w:val="02E80AFB"/>
    <w:rsid w:val="033C49A3"/>
    <w:rsid w:val="04DC01EC"/>
    <w:rsid w:val="04DF7CDC"/>
    <w:rsid w:val="057E12A3"/>
    <w:rsid w:val="078B5EF9"/>
    <w:rsid w:val="078C4C5F"/>
    <w:rsid w:val="079E3E7E"/>
    <w:rsid w:val="08E100B0"/>
    <w:rsid w:val="096864F2"/>
    <w:rsid w:val="0AD35BED"/>
    <w:rsid w:val="0B2248E3"/>
    <w:rsid w:val="0C6452F7"/>
    <w:rsid w:val="0CCD48BE"/>
    <w:rsid w:val="0D792DC6"/>
    <w:rsid w:val="0FB13EA4"/>
    <w:rsid w:val="114356CC"/>
    <w:rsid w:val="14CD7045"/>
    <w:rsid w:val="16646DCC"/>
    <w:rsid w:val="1A1C7F0B"/>
    <w:rsid w:val="1B391A9C"/>
    <w:rsid w:val="1B5A7CE7"/>
    <w:rsid w:val="1BA8631E"/>
    <w:rsid w:val="1C4A1A87"/>
    <w:rsid w:val="1D76522A"/>
    <w:rsid w:val="1DF60D84"/>
    <w:rsid w:val="216830DB"/>
    <w:rsid w:val="22396227"/>
    <w:rsid w:val="23311697"/>
    <w:rsid w:val="2466767A"/>
    <w:rsid w:val="248277F2"/>
    <w:rsid w:val="249E40B4"/>
    <w:rsid w:val="28773C04"/>
    <w:rsid w:val="29804D3A"/>
    <w:rsid w:val="2A337FFE"/>
    <w:rsid w:val="2D202ABC"/>
    <w:rsid w:val="2E562AD4"/>
    <w:rsid w:val="302208F9"/>
    <w:rsid w:val="30C9346B"/>
    <w:rsid w:val="317452E6"/>
    <w:rsid w:val="31F15D59"/>
    <w:rsid w:val="33A11C16"/>
    <w:rsid w:val="34DA66AF"/>
    <w:rsid w:val="37C07E87"/>
    <w:rsid w:val="3C2459F9"/>
    <w:rsid w:val="3F122481"/>
    <w:rsid w:val="3F6D654C"/>
    <w:rsid w:val="40EB1446"/>
    <w:rsid w:val="443F1622"/>
    <w:rsid w:val="479B5126"/>
    <w:rsid w:val="4829491E"/>
    <w:rsid w:val="498A6E0C"/>
    <w:rsid w:val="4C3C0B3D"/>
    <w:rsid w:val="4CD85AE0"/>
    <w:rsid w:val="4D152ED0"/>
    <w:rsid w:val="4D941A33"/>
    <w:rsid w:val="4FAF74D3"/>
    <w:rsid w:val="53963CFA"/>
    <w:rsid w:val="540E6761"/>
    <w:rsid w:val="54212D35"/>
    <w:rsid w:val="563F1955"/>
    <w:rsid w:val="56883515"/>
    <w:rsid w:val="57B435FC"/>
    <w:rsid w:val="58501BF8"/>
    <w:rsid w:val="5A24333C"/>
    <w:rsid w:val="5BEF222A"/>
    <w:rsid w:val="5EA04F5B"/>
    <w:rsid w:val="5F1F40D2"/>
    <w:rsid w:val="60251BBC"/>
    <w:rsid w:val="60C56EFB"/>
    <w:rsid w:val="62136C55"/>
    <w:rsid w:val="653D3DAB"/>
    <w:rsid w:val="65640A91"/>
    <w:rsid w:val="65EE2A50"/>
    <w:rsid w:val="67D143D7"/>
    <w:rsid w:val="69C31E74"/>
    <w:rsid w:val="6C007EAF"/>
    <w:rsid w:val="6E9F31ED"/>
    <w:rsid w:val="703B4AE4"/>
    <w:rsid w:val="70A73F27"/>
    <w:rsid w:val="70F07E7A"/>
    <w:rsid w:val="719C5A56"/>
    <w:rsid w:val="72404633"/>
    <w:rsid w:val="75705230"/>
    <w:rsid w:val="77536BB7"/>
    <w:rsid w:val="77901BB9"/>
    <w:rsid w:val="7862181D"/>
    <w:rsid w:val="78A05E2C"/>
    <w:rsid w:val="78A93FF9"/>
    <w:rsid w:val="78DE6954"/>
    <w:rsid w:val="79C6536D"/>
    <w:rsid w:val="79FF4DD4"/>
    <w:rsid w:val="7C0861C2"/>
    <w:rsid w:val="7F581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next w:val="1"/>
    <w:qFormat/>
    <w:uiPriority w:val="99"/>
    <w:pPr>
      <w:keepNext/>
      <w:keepLines/>
      <w:widowControl w:val="0"/>
      <w:spacing w:before="260" w:after="260" w:line="416" w:lineRule="auto"/>
      <w:jc w:val="both"/>
      <w:outlineLvl w:val="1"/>
    </w:pPr>
    <w:rPr>
      <w:rFonts w:ascii="Arial" w:hAnsi="Arial" w:eastAsia="黑体" w:cs="Arial"/>
      <w:b/>
      <w:bCs/>
      <w:kern w:val="2"/>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Plain Text"/>
    <w:basedOn w:val="1"/>
    <w:qFormat/>
    <w:uiPriority w:val="0"/>
    <w:pPr>
      <w:snapToGrid w:val="0"/>
      <w:spacing w:line="460" w:lineRule="atLeast"/>
    </w:pPr>
    <w:rPr>
      <w:rFonts w:ascii="宋体" w:hAnsi="Courier"/>
      <w:snapToGrid w:val="0"/>
      <w:spacing w:val="-6"/>
      <w:kern w:val="0"/>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7618</Words>
  <Characters>7638</Characters>
  <Lines>0</Lines>
  <Paragraphs>0</Paragraphs>
  <TotalTime>29</TotalTime>
  <ScaleCrop>false</ScaleCrop>
  <LinksUpToDate>false</LinksUpToDate>
  <CharactersWithSpaces>7684</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2023-06-15T03:12:00Z</dcterms:created>
  <dc:creator>Administrator.DESKTOP-HL9P91O</dc:creator>
  <cp:lastModifiedBy>西安铁道技师学院</cp:lastModifiedBy>
  <dcterms:modified xsi:type="dcterms:W3CDTF">2024-04-28T07:11:26Z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103E1ED720DA44D6B18D8C0BA6FD1DC0_12</vt:lpwstr>
  </property>
</Properties>
</file>